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133BDF" w14:textId="3AA3AE39" w:rsidR="00C039E1" w:rsidRPr="00690ED5" w:rsidRDefault="00C039E1" w:rsidP="00A62684">
      <w:pPr>
        <w:pStyle w:val="AppendixHeading"/>
        <w:spacing w:after="240"/>
        <w:ind w:left="-567"/>
        <w:jc w:val="both"/>
      </w:pPr>
      <w:bookmarkStart w:id="0" w:name="_Ref69897525"/>
      <w:r w:rsidRPr="00093715">
        <w:t>List</w:t>
      </w:r>
      <w:r>
        <w:t xml:space="preserve"> of active, committed and under</w:t>
      </w:r>
      <w:r w:rsidR="006E1932">
        <w:t xml:space="preserve"> </w:t>
      </w:r>
      <w:r>
        <w:t xml:space="preserve">development </w:t>
      </w:r>
      <w:r w:rsidR="004B3211">
        <w:t>h</w:t>
      </w:r>
      <w:r>
        <w:t>ydrogen projects and hubs in Australia.</w:t>
      </w:r>
      <w:bookmarkEnd w:id="0"/>
    </w:p>
    <w:tbl>
      <w:tblPr>
        <w:tblStyle w:val="TableGrid"/>
        <w:tblW w:w="15015"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396"/>
        <w:gridCol w:w="1377"/>
        <w:gridCol w:w="2059"/>
        <w:gridCol w:w="2064"/>
        <w:gridCol w:w="1388"/>
        <w:gridCol w:w="1374"/>
        <w:gridCol w:w="2801"/>
      </w:tblGrid>
      <w:tr w:rsidR="00C670EC" w:rsidRPr="00921944" w14:paraId="732555BC" w14:textId="77777777" w:rsidTr="00F74D8C">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56" w:type="dxa"/>
          </w:tcPr>
          <w:p w14:paraId="2BECC589" w14:textId="77777777" w:rsidR="00C039E1" w:rsidRPr="00921944" w:rsidRDefault="00C039E1" w:rsidP="00BA2C8B">
            <w:pPr>
              <w:pStyle w:val="ListParagraph"/>
              <w:ind w:left="0"/>
              <w:jc w:val="center"/>
              <w:rPr>
                <w:sz w:val="28"/>
                <w:szCs w:val="32"/>
                <w:lang w:val="en-US"/>
              </w:rPr>
            </w:pPr>
            <w:r w:rsidRPr="00921944">
              <w:rPr>
                <w:sz w:val="20"/>
                <w:szCs w:val="20"/>
                <w:lang w:val="en-US"/>
              </w:rPr>
              <w:t>#</w:t>
            </w:r>
          </w:p>
        </w:tc>
        <w:tc>
          <w:tcPr>
            <w:tcW w:w="3396" w:type="dxa"/>
          </w:tcPr>
          <w:p w14:paraId="3562E56C" w14:textId="77777777" w:rsidR="00C039E1" w:rsidRPr="00921944" w:rsidRDefault="00C039E1" w:rsidP="00BA2C8B">
            <w:pPr>
              <w:pStyle w:val="ListParagraph"/>
              <w:ind w:left="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Project Name</w:t>
            </w:r>
          </w:p>
        </w:tc>
        <w:tc>
          <w:tcPr>
            <w:tcW w:w="1377" w:type="dxa"/>
          </w:tcPr>
          <w:p w14:paraId="2E08331B" w14:textId="77777777" w:rsidR="00C039E1" w:rsidRPr="00921944" w:rsidRDefault="00C039E1" w:rsidP="00BA2C8B">
            <w:pPr>
              <w:pStyle w:val="ListParagraph"/>
              <w:tabs>
                <w:tab w:val="clear" w:pos="357"/>
                <w:tab w:val="left" w:pos="0"/>
              </w:tabs>
              <w:ind w:left="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Location</w:t>
            </w:r>
          </w:p>
        </w:tc>
        <w:tc>
          <w:tcPr>
            <w:tcW w:w="2059" w:type="dxa"/>
          </w:tcPr>
          <w:p w14:paraId="0B9D689B" w14:textId="77777777" w:rsidR="00C039E1" w:rsidRPr="00921944" w:rsidRDefault="00C039E1" w:rsidP="00BA2C8B">
            <w:pPr>
              <w:pStyle w:val="ListParagraph"/>
              <w:tabs>
                <w:tab w:val="clear" w:pos="357"/>
              </w:tabs>
              <w:ind w:left="39"/>
              <w:contextualSpacing w:val="0"/>
              <w:jc w:val="both"/>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Scale</w:t>
            </w:r>
          </w:p>
        </w:tc>
        <w:tc>
          <w:tcPr>
            <w:tcW w:w="2064" w:type="dxa"/>
          </w:tcPr>
          <w:p w14:paraId="30C2B4F6" w14:textId="77777777" w:rsidR="00C039E1" w:rsidRPr="00921944" w:rsidRDefault="00C039E1" w:rsidP="00BA2C8B">
            <w:pPr>
              <w:pStyle w:val="ListParagraph"/>
              <w:ind w:left="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Type of Project</w:t>
            </w:r>
          </w:p>
        </w:tc>
        <w:tc>
          <w:tcPr>
            <w:tcW w:w="1388" w:type="dxa"/>
          </w:tcPr>
          <w:p w14:paraId="38A5131D" w14:textId="77777777" w:rsidR="00C039E1" w:rsidRPr="00921944" w:rsidRDefault="00C039E1" w:rsidP="00BA2C8B">
            <w:pPr>
              <w:pStyle w:val="ListParagraph"/>
              <w:ind w:left="45"/>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Domestic Market</w:t>
            </w:r>
          </w:p>
        </w:tc>
        <w:tc>
          <w:tcPr>
            <w:tcW w:w="1374" w:type="dxa"/>
          </w:tcPr>
          <w:p w14:paraId="2FDB1FE5" w14:textId="77777777" w:rsidR="00C039E1" w:rsidRPr="00921944" w:rsidRDefault="00C039E1" w:rsidP="00BA2C8B">
            <w:pPr>
              <w:pStyle w:val="ListParagraph"/>
              <w:ind w:left="18"/>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Export Market</w:t>
            </w:r>
          </w:p>
        </w:tc>
        <w:tc>
          <w:tcPr>
            <w:tcW w:w="2801" w:type="dxa"/>
          </w:tcPr>
          <w:p w14:paraId="04635E4D" w14:textId="6F65094F" w:rsidR="00C039E1" w:rsidRPr="00921944" w:rsidRDefault="00C039E1" w:rsidP="00BA2C8B">
            <w:pPr>
              <w:pStyle w:val="ListParagraph"/>
              <w:ind w:left="0"/>
              <w:contextualSpacing w:val="0"/>
              <w:cnfStyle w:val="100000000000" w:firstRow="1" w:lastRow="0" w:firstColumn="0" w:lastColumn="0" w:oddVBand="0" w:evenVBand="0" w:oddHBand="0" w:evenHBand="0" w:firstRowFirstColumn="0" w:firstRowLastColumn="0" w:lastRowFirstColumn="0" w:lastRowLastColumn="0"/>
              <w:rPr>
                <w:sz w:val="20"/>
                <w:szCs w:val="20"/>
                <w:lang w:val="en-US"/>
              </w:rPr>
            </w:pPr>
            <w:r w:rsidRPr="00921944">
              <w:rPr>
                <w:sz w:val="20"/>
                <w:szCs w:val="20"/>
                <w:lang w:val="en-US"/>
              </w:rPr>
              <w:t>Project Status</w:t>
            </w:r>
            <w:r w:rsidR="0076357C">
              <w:rPr>
                <w:sz w:val="20"/>
                <w:szCs w:val="20"/>
                <w:lang w:val="en-US"/>
              </w:rPr>
              <w:t>/Comments</w:t>
            </w:r>
          </w:p>
        </w:tc>
      </w:tr>
      <w:tr w:rsidR="00C039E1" w:rsidRPr="00921944" w14:paraId="7612D73F" w14:textId="77777777" w:rsidTr="007A1DBD">
        <w:tc>
          <w:tcPr>
            <w:cnfStyle w:val="001000000000" w:firstRow="0" w:lastRow="0" w:firstColumn="1" w:lastColumn="0" w:oddVBand="0" w:evenVBand="0" w:oddHBand="0" w:evenHBand="0" w:firstRowFirstColumn="0" w:firstRowLastColumn="0" w:lastRowFirstColumn="0" w:lastRowLastColumn="0"/>
            <w:tcW w:w="15015" w:type="dxa"/>
            <w:gridSpan w:val="8"/>
            <w:shd w:val="clear" w:color="auto" w:fill="737373" w:themeFill="text2"/>
          </w:tcPr>
          <w:p w14:paraId="7A56FC1D" w14:textId="77777777" w:rsidR="00C039E1" w:rsidRPr="00921944" w:rsidRDefault="00C039E1" w:rsidP="00BA2C8B">
            <w:pPr>
              <w:pStyle w:val="ListParagraph"/>
              <w:spacing w:before="120" w:after="120"/>
              <w:ind w:left="0"/>
              <w:contextualSpacing w:val="0"/>
              <w:rPr>
                <w:color w:val="FFFFFF" w:themeColor="background1"/>
                <w:sz w:val="20"/>
                <w:szCs w:val="20"/>
                <w:lang w:val="en-US"/>
              </w:rPr>
            </w:pPr>
            <w:r w:rsidRPr="00921944">
              <w:rPr>
                <w:color w:val="FFFFFF" w:themeColor="background1"/>
                <w:sz w:val="20"/>
                <w:szCs w:val="20"/>
                <w:lang w:val="en-US"/>
              </w:rPr>
              <w:t>Queensland</w:t>
            </w:r>
          </w:p>
        </w:tc>
      </w:tr>
      <w:tr w:rsidR="00C670EC" w:rsidRPr="00921944" w14:paraId="77CC6C87"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4BD88FAF" w14:textId="77777777" w:rsidR="00C039E1" w:rsidRPr="00722910" w:rsidRDefault="00C039E1" w:rsidP="00BA2C8B">
            <w:pPr>
              <w:pStyle w:val="ListParagraph"/>
              <w:ind w:left="0"/>
              <w:rPr>
                <w:sz w:val="18"/>
                <w:szCs w:val="18"/>
                <w:lang w:val="en-US"/>
              </w:rPr>
            </w:pPr>
            <w:r w:rsidRPr="00722910">
              <w:rPr>
                <w:sz w:val="18"/>
                <w:szCs w:val="18"/>
                <w:lang w:val="en-US"/>
              </w:rPr>
              <w:t>1.</w:t>
            </w:r>
          </w:p>
        </w:tc>
        <w:tc>
          <w:tcPr>
            <w:tcW w:w="3396" w:type="dxa"/>
            <w:shd w:val="clear" w:color="auto" w:fill="FFFFFF" w:themeFill="background1"/>
          </w:tcPr>
          <w:p w14:paraId="4E0D19E5"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Daintree Microgrid Project</w:t>
            </w:r>
          </w:p>
          <w:p w14:paraId="0BC9938C" w14:textId="77777777" w:rsidR="00061C31" w:rsidRDefault="00C039E1" w:rsidP="009A3FE3">
            <w:pPr>
              <w:pStyle w:val="ListParagraph"/>
              <w:spacing w:before="240" w:after="120"/>
              <w:ind w:left="0" w:right="42"/>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Proposed plan for a solar energy based microgrid with intermediate storage through hydrogen generation, as a replacement of the current diesel-based power system.</w:t>
            </w:r>
            <w:r w:rsidRPr="00921944">
              <w:rPr>
                <w:sz w:val="18"/>
                <w:szCs w:val="18"/>
                <w:lang w:val="en-US"/>
              </w:rPr>
              <w:fldChar w:fldCharType="begin" w:fldLock="1"/>
            </w:r>
            <w:r w:rsidR="002E6D02" w:rsidRPr="00921944">
              <w:rPr>
                <w:sz w:val="18"/>
                <w:szCs w:val="18"/>
                <w:lang w:val="en-US"/>
              </w:rPr>
              <w:instrText>ADDIN CSL_CITATION {"citationItems":[{"id":"ITEM-1","itemData":{"URL":"https://research.csiro.au/hyresource/daintree-microgrid-project/","accessed":{"date-parts":[["2021","4","19"]]},"author":[{"dropping-particle":"","family":"CSIRO","given":"","non-dropping-particle":"","parse-names":false,"suffix":""}],"container-title":"HyResource","id":"ITEM-1","issued":{"date-parts":[["2020","9","23"]]},"title":"Daintree Microgrid Project ","type":"webpage"},"uris":["http://www.mendeley.com/documents/?uuid=053ba839-aeb3-3c45-8d61-3f9239fae73a"]}],"mendeley":{"formattedCitation":"&lt;sup&gt;1&lt;/sup&gt;","plainTextFormattedCitation":"1","previouslyFormattedCitation":"&lt;sup&gt;1&lt;/sup&gt;"},"properties":{"noteIndex":0},"schema":"https://github.com/citation-style-language/schema/raw/master/csl-citation.json"}</w:instrText>
            </w:r>
            <w:r w:rsidRPr="00921944">
              <w:rPr>
                <w:sz w:val="18"/>
                <w:szCs w:val="18"/>
                <w:lang w:val="en-US"/>
              </w:rPr>
              <w:fldChar w:fldCharType="separate"/>
            </w:r>
            <w:r w:rsidR="00BA2C8B" w:rsidRPr="00921944">
              <w:rPr>
                <w:noProof/>
                <w:sz w:val="18"/>
                <w:szCs w:val="18"/>
                <w:vertAlign w:val="superscript"/>
                <w:lang w:val="en-US"/>
              </w:rPr>
              <w:t>1</w:t>
            </w:r>
            <w:r w:rsidRPr="00921944">
              <w:rPr>
                <w:sz w:val="18"/>
                <w:szCs w:val="18"/>
                <w:lang w:val="en-US"/>
              </w:rPr>
              <w:fldChar w:fldCharType="end"/>
            </w:r>
            <w:r w:rsidRPr="00921944">
              <w:rPr>
                <w:sz w:val="18"/>
                <w:szCs w:val="18"/>
                <w:lang w:val="en-US"/>
              </w:rPr>
              <w:t xml:space="preserve"> </w:t>
            </w:r>
          </w:p>
          <w:p w14:paraId="26D3C008" w14:textId="67CFAA46" w:rsidR="009A3FE3" w:rsidRDefault="00C039E1" w:rsidP="009A3FE3">
            <w:pPr>
              <w:pStyle w:val="ListParagraph"/>
              <w:spacing w:before="240" w:after="120"/>
              <w:ind w:left="0" w:right="42"/>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project was provided $990k in grant funding from the Federal Government as part of the Regional and Remote Communities Reliability Fund to conduct a feasibility study.</w:t>
            </w:r>
            <w:r w:rsidR="00904983">
              <w:rPr>
                <w:sz w:val="18"/>
                <w:szCs w:val="18"/>
                <w:lang w:val="en-US"/>
              </w:rPr>
              <w:t xml:space="preserve"> The report was </w:t>
            </w:r>
            <w:r w:rsidR="00954EFA">
              <w:rPr>
                <w:sz w:val="18"/>
                <w:szCs w:val="18"/>
                <w:lang w:val="en-US"/>
              </w:rPr>
              <w:t xml:space="preserve">originally </w:t>
            </w:r>
            <w:r w:rsidR="00904983">
              <w:rPr>
                <w:sz w:val="18"/>
                <w:szCs w:val="18"/>
                <w:lang w:val="en-US"/>
              </w:rPr>
              <w:t xml:space="preserve">expected to be completed by </w:t>
            </w:r>
            <w:r w:rsidR="006E0954">
              <w:rPr>
                <w:sz w:val="18"/>
                <w:szCs w:val="18"/>
                <w:lang w:val="en-US"/>
              </w:rPr>
              <w:t>mid</w:t>
            </w:r>
            <w:r w:rsidR="009A3FE3">
              <w:rPr>
                <w:sz w:val="18"/>
                <w:szCs w:val="18"/>
                <w:lang w:val="en-US"/>
              </w:rPr>
              <w:t>-</w:t>
            </w:r>
            <w:r w:rsidR="006E0954">
              <w:rPr>
                <w:sz w:val="18"/>
                <w:szCs w:val="18"/>
                <w:lang w:val="en-US"/>
              </w:rPr>
              <w:t>2020</w:t>
            </w:r>
            <w:r w:rsidR="009A3FE3">
              <w:rPr>
                <w:sz w:val="18"/>
                <w:szCs w:val="18"/>
                <w:lang w:val="en-US"/>
              </w:rPr>
              <w:t xml:space="preserve"> </w:t>
            </w:r>
            <w:r w:rsidR="00835E9B">
              <w:rPr>
                <w:sz w:val="18"/>
                <w:szCs w:val="18"/>
                <w:lang w:val="en-US"/>
              </w:rPr>
              <w:fldChar w:fldCharType="begin" w:fldLock="1"/>
            </w:r>
            <w:r w:rsidR="002800B9">
              <w:rPr>
                <w:sz w:val="18"/>
                <w:szCs w:val="18"/>
                <w:lang w:val="en-US"/>
              </w:rPr>
              <w:instrText>ADDIN CSL_CITATION {"citationItems":[{"id":"ITEM-1","itemData":{"URL":"https://research.csiro.au/hyresource/daintree-microgrid-project/","accessed":{"date-parts":[["2021","7","22"]]},"author":[{"dropping-particle":"","family":"CSIRO","given":"","non-dropping-particle":"","parse-names":false,"suffix":""}],"container-title":"HyResource","id":"ITEM-1","issued":{"date-parts":[["2020","9","23"]]},"title":"Daintree Microgrid Project ","type":"webpage"},"uris":["http://www.mendeley.com/documents/?uuid=b55fde4c-285d-3478-9f5a-b51855a61693"]}],"mendeley":{"formattedCitation":"&lt;sup&gt;2&lt;/sup&gt;","plainTextFormattedCitation":"2","previouslyFormattedCitation":"&lt;sup&gt;2&lt;/sup&gt;"},"properties":{"noteIndex":0},"schema":"https://github.com/citation-style-language/schema/raw/master/csl-citation.json"}</w:instrText>
            </w:r>
            <w:r w:rsidR="00835E9B">
              <w:rPr>
                <w:sz w:val="18"/>
                <w:szCs w:val="18"/>
                <w:lang w:val="en-US"/>
              </w:rPr>
              <w:fldChar w:fldCharType="separate"/>
            </w:r>
            <w:r w:rsidR="00835E9B" w:rsidRPr="00835E9B">
              <w:rPr>
                <w:noProof/>
                <w:sz w:val="18"/>
                <w:szCs w:val="18"/>
                <w:vertAlign w:val="superscript"/>
                <w:lang w:val="en-US"/>
              </w:rPr>
              <w:t>2</w:t>
            </w:r>
            <w:r w:rsidR="00835E9B">
              <w:rPr>
                <w:sz w:val="18"/>
                <w:szCs w:val="18"/>
                <w:lang w:val="en-US"/>
              </w:rPr>
              <w:fldChar w:fldCharType="end"/>
            </w:r>
            <w:r w:rsidR="006E0954">
              <w:rPr>
                <w:sz w:val="18"/>
                <w:szCs w:val="18"/>
                <w:lang w:val="en-US"/>
              </w:rPr>
              <w:t>, but the findings are yet to be made public</w:t>
            </w:r>
            <w:r w:rsidR="002800B9">
              <w:rPr>
                <w:sz w:val="18"/>
                <w:szCs w:val="18"/>
                <w:lang w:val="en-US"/>
              </w:rPr>
              <w:fldChar w:fldCharType="begin" w:fldLock="1"/>
            </w:r>
            <w:r w:rsidR="00440507">
              <w:rPr>
                <w:sz w:val="18"/>
                <w:szCs w:val="18"/>
                <w:lang w:val="en-US"/>
              </w:rPr>
              <w:instrText>ADDIN CSL_CITATION {"citationItems":[{"id":"ITEM-1","itemData":{"URL":"https://douglasnews.network/2021/04/24/what-happened-to-the-one-million-dollar-shovel-ready-daintree-microgrid-project/","accessed":{"date-parts":[["2021","7","22"]]},"id":"ITEM-1","issued":{"date-parts":[["0"]]},"title":"What Happened To The One Million Dollar Shovel Ready Daintree Microgrid Project? | DouglasNews.Network","type":"webpage"},"uris":["http://www.mendeley.com/documents/?uuid=3747a1a7-982d-3cd1-a0e3-eab77b4fc47a"]}],"mendeley":{"formattedCitation":"&lt;sup&gt;3&lt;/sup&gt;","plainTextFormattedCitation":"3","previouslyFormattedCitation":"&lt;sup&gt;3&lt;/sup&gt;"},"properties":{"noteIndex":0},"schema":"https://github.com/citation-style-language/schema/raw/master/csl-citation.json"}</w:instrText>
            </w:r>
            <w:r w:rsidR="002800B9">
              <w:rPr>
                <w:sz w:val="18"/>
                <w:szCs w:val="18"/>
                <w:lang w:val="en-US"/>
              </w:rPr>
              <w:fldChar w:fldCharType="separate"/>
            </w:r>
            <w:r w:rsidR="002800B9" w:rsidRPr="002800B9">
              <w:rPr>
                <w:noProof/>
                <w:sz w:val="18"/>
                <w:szCs w:val="18"/>
                <w:vertAlign w:val="superscript"/>
                <w:lang w:val="en-US"/>
              </w:rPr>
              <w:t>3</w:t>
            </w:r>
            <w:r w:rsidR="002800B9">
              <w:rPr>
                <w:sz w:val="18"/>
                <w:szCs w:val="18"/>
                <w:lang w:val="en-US"/>
              </w:rPr>
              <w:fldChar w:fldCharType="end"/>
            </w:r>
            <w:r w:rsidR="006E0954">
              <w:rPr>
                <w:sz w:val="18"/>
                <w:szCs w:val="18"/>
                <w:lang w:val="en-US"/>
              </w:rPr>
              <w:t xml:space="preserve">. </w:t>
            </w:r>
          </w:p>
          <w:p w14:paraId="67A7408E" w14:textId="772D7AFA" w:rsidR="00C039E1" w:rsidRPr="00921944" w:rsidRDefault="006E0954" w:rsidP="009A3FE3">
            <w:pPr>
              <w:pStyle w:val="ListParagraph"/>
              <w:spacing w:before="240" w:after="120"/>
              <w:ind w:left="0" w:right="42"/>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R</w:t>
            </w:r>
            <w:r w:rsidR="00AD7128">
              <w:rPr>
                <w:sz w:val="18"/>
                <w:szCs w:val="18"/>
                <w:lang w:val="en-US"/>
              </w:rPr>
              <w:t>ecently</w:t>
            </w:r>
            <w:r>
              <w:rPr>
                <w:sz w:val="18"/>
                <w:szCs w:val="18"/>
                <w:lang w:val="en-US"/>
              </w:rPr>
              <w:t xml:space="preserve"> (</w:t>
            </w:r>
            <w:r w:rsidR="00E456FC">
              <w:rPr>
                <w:sz w:val="18"/>
                <w:szCs w:val="18"/>
                <w:lang w:val="en-US"/>
              </w:rPr>
              <w:t xml:space="preserve">as </w:t>
            </w:r>
            <w:r>
              <w:rPr>
                <w:sz w:val="18"/>
                <w:szCs w:val="18"/>
                <w:lang w:val="en-US"/>
              </w:rPr>
              <w:t>of May 2021)</w:t>
            </w:r>
            <w:r w:rsidR="00AD7128">
              <w:rPr>
                <w:sz w:val="18"/>
                <w:szCs w:val="18"/>
                <w:lang w:val="en-US"/>
              </w:rPr>
              <w:t>, the Federal Government has provided</w:t>
            </w:r>
            <w:r w:rsidR="00195589">
              <w:rPr>
                <w:sz w:val="18"/>
                <w:szCs w:val="18"/>
                <w:lang w:val="en-US"/>
              </w:rPr>
              <w:t xml:space="preserve"> A$1</w:t>
            </w:r>
            <w:r w:rsidR="00B871E6">
              <w:rPr>
                <w:sz w:val="18"/>
                <w:szCs w:val="18"/>
                <w:lang w:val="en-US"/>
              </w:rPr>
              <w:t>9.3 million to support stage 1 of project construction</w:t>
            </w:r>
            <w:r w:rsidR="00E17D6F">
              <w:rPr>
                <w:sz w:val="18"/>
                <w:szCs w:val="18"/>
                <w:lang w:val="en-US"/>
              </w:rPr>
              <w:t>.</w:t>
            </w:r>
            <w:r w:rsidR="00E17D6F">
              <w:rPr>
                <w:sz w:val="18"/>
                <w:szCs w:val="18"/>
                <w:lang w:val="en-US"/>
              </w:rPr>
              <w:fldChar w:fldCharType="begin" w:fldLock="1"/>
            </w:r>
            <w:r w:rsidR="00440507">
              <w:rPr>
                <w:sz w:val="18"/>
                <w:szCs w:val="18"/>
                <w:lang w:val="en-US"/>
              </w:rPr>
              <w:instrText>ADDIN CSL_CITATION {"citationItems":[{"id":"ITEM-1","itemData":{"URL":"https://www.warrenentsch.com.au/morrison-government-to-invest-19-3m-to-support-stage-one-construction-of-the-daintree-microgrid-project/","accessed":{"date-parts":[["2021","7","22"]]},"author":[{"dropping-particle":"","family":"Warren Entsch MP","given":"","non-dropping-particle":"","parse-names":false,"suffix":""}],"container-title":"Media Releases","id":"ITEM-1","issued":{"date-parts":[["2021","5","12"]]},"title":"Morrison Government to invest $19.3m to support stage one construction of the Daintree microgrid project","type":"webpage"},"uris":["http://www.mendeley.com/documents/?uuid=10b1bdd1-a88b-3102-a541-44195460d4ba"]}],"mendeley":{"formattedCitation":"&lt;sup&gt;4&lt;/sup&gt;","plainTextFormattedCitation":"4","previouslyFormattedCitation":"&lt;sup&gt;4&lt;/sup&gt;"},"properties":{"noteIndex":0},"schema":"https://github.com/citation-style-language/schema/raw/master/csl-citation.json"}</w:instrText>
            </w:r>
            <w:r w:rsidR="00E17D6F">
              <w:rPr>
                <w:sz w:val="18"/>
                <w:szCs w:val="18"/>
                <w:lang w:val="en-US"/>
              </w:rPr>
              <w:fldChar w:fldCharType="separate"/>
            </w:r>
            <w:r w:rsidR="002800B9" w:rsidRPr="002800B9">
              <w:rPr>
                <w:noProof/>
                <w:sz w:val="18"/>
                <w:szCs w:val="18"/>
                <w:vertAlign w:val="superscript"/>
                <w:lang w:val="en-US"/>
              </w:rPr>
              <w:t>4</w:t>
            </w:r>
            <w:r w:rsidR="00E17D6F">
              <w:rPr>
                <w:sz w:val="18"/>
                <w:szCs w:val="18"/>
                <w:lang w:val="en-US"/>
              </w:rPr>
              <w:fldChar w:fldCharType="end"/>
            </w:r>
            <w:r w:rsidR="00AD7128">
              <w:rPr>
                <w:sz w:val="18"/>
                <w:szCs w:val="18"/>
                <w:lang w:val="en-US"/>
              </w:rPr>
              <w:t xml:space="preserve"> </w:t>
            </w:r>
          </w:p>
        </w:tc>
        <w:tc>
          <w:tcPr>
            <w:tcW w:w="1377" w:type="dxa"/>
            <w:shd w:val="clear" w:color="auto" w:fill="FFFFFF" w:themeFill="background1"/>
          </w:tcPr>
          <w:p w14:paraId="166463AD"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 xml:space="preserve">Daintree, </w:t>
            </w:r>
          </w:p>
          <w:p w14:paraId="2450A064"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Qld</w:t>
            </w:r>
          </w:p>
        </w:tc>
        <w:tc>
          <w:tcPr>
            <w:tcW w:w="2059" w:type="dxa"/>
            <w:shd w:val="clear" w:color="auto" w:fill="FFFFFF" w:themeFill="background1"/>
          </w:tcPr>
          <w:p w14:paraId="4425ED2D" w14:textId="53490424" w:rsidR="00C039E1" w:rsidRPr="00E46AEB" w:rsidRDefault="00E46AEB" w:rsidP="00E46AEB">
            <w:pPr>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N.A.</w:t>
            </w:r>
          </w:p>
        </w:tc>
        <w:tc>
          <w:tcPr>
            <w:tcW w:w="2064" w:type="dxa"/>
            <w:shd w:val="clear" w:color="auto" w:fill="FFFFFF" w:themeFill="background1"/>
          </w:tcPr>
          <w:p w14:paraId="2E73F0C2" w14:textId="18E0EBEB" w:rsidR="00C039E1" w:rsidRPr="00921944" w:rsidRDefault="00C43BAE"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Demonstration Facility</w:t>
            </w:r>
          </w:p>
        </w:tc>
        <w:tc>
          <w:tcPr>
            <w:tcW w:w="1388" w:type="dxa"/>
            <w:shd w:val="clear" w:color="auto" w:fill="FFFFFF" w:themeFill="background1"/>
          </w:tcPr>
          <w:p w14:paraId="30E80A2F" w14:textId="3454025B" w:rsidR="00C039E1" w:rsidRPr="00921944" w:rsidRDefault="28449894" w:rsidP="00BA2C8B">
            <w:pPr>
              <w:pStyle w:val="ListParagraph"/>
              <w:spacing w:after="12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4177A46E" wp14:editId="5C3BF02A">
                  <wp:extent cx="461882" cy="477078"/>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50DB8065" w14:textId="77777777" w:rsidR="00C039E1" w:rsidRPr="00921944" w:rsidRDefault="00C039E1"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FFFFFF" w:themeFill="background1"/>
          </w:tcPr>
          <w:p w14:paraId="0FD97BEF" w14:textId="77777777" w:rsidR="00C039E1" w:rsidRPr="00921944" w:rsidRDefault="00C039E1" w:rsidP="00BA2C8B">
            <w:pPr>
              <w:pStyle w:val="ListParagraph"/>
              <w:tabs>
                <w:tab w:val="clear" w:pos="357"/>
              </w:tabs>
              <w:ind w:left="0"/>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Under development </w:t>
            </w:r>
          </w:p>
          <w:p w14:paraId="2574401D" w14:textId="0EEEB073" w:rsidR="00C039E1" w:rsidRPr="00921944" w:rsidRDefault="00C039E1" w:rsidP="00BA2C8B">
            <w:pPr>
              <w:pStyle w:val="ListParagraph"/>
              <w:tabs>
                <w:tab w:val="clear" w:pos="357"/>
              </w:tabs>
              <w:ind w:left="0"/>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w:t>
            </w:r>
            <w:r w:rsidR="00572AC7">
              <w:rPr>
                <w:sz w:val="18"/>
                <w:szCs w:val="18"/>
                <w:lang w:val="en-US"/>
              </w:rPr>
              <w:t>Stage One Construction</w:t>
            </w:r>
            <w:r w:rsidRPr="00921944">
              <w:rPr>
                <w:sz w:val="18"/>
                <w:szCs w:val="18"/>
                <w:lang w:val="en-US"/>
              </w:rPr>
              <w:t>)</w:t>
            </w:r>
          </w:p>
        </w:tc>
      </w:tr>
      <w:tr w:rsidR="002800B9" w:rsidRPr="00921944" w14:paraId="197DE406"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786C68A2" w14:textId="77777777" w:rsidR="00C039E1" w:rsidRPr="00722910" w:rsidRDefault="00C039E1" w:rsidP="00BA2C8B">
            <w:pPr>
              <w:pStyle w:val="ListParagraph"/>
              <w:ind w:left="0"/>
              <w:rPr>
                <w:sz w:val="18"/>
                <w:szCs w:val="18"/>
                <w:lang w:val="en-US"/>
              </w:rPr>
            </w:pPr>
            <w:r w:rsidRPr="00722910">
              <w:rPr>
                <w:sz w:val="18"/>
                <w:szCs w:val="18"/>
                <w:lang w:val="en-US"/>
              </w:rPr>
              <w:t>2.</w:t>
            </w:r>
          </w:p>
        </w:tc>
        <w:tc>
          <w:tcPr>
            <w:tcW w:w="3396" w:type="dxa"/>
          </w:tcPr>
          <w:p w14:paraId="71F6F6C6"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Origin Energy’s Green Liquid H</w:t>
            </w:r>
            <w:r w:rsidRPr="00921944">
              <w:rPr>
                <w:b/>
                <w:bCs/>
                <w:sz w:val="18"/>
                <w:szCs w:val="18"/>
                <w:vertAlign w:val="subscript"/>
                <w:lang w:val="en-US"/>
              </w:rPr>
              <w:t>2</w:t>
            </w:r>
            <w:r w:rsidRPr="00921944">
              <w:rPr>
                <w:b/>
                <w:bCs/>
                <w:sz w:val="18"/>
                <w:szCs w:val="18"/>
                <w:lang w:val="en-US"/>
              </w:rPr>
              <w:t xml:space="preserve"> Export Project</w:t>
            </w:r>
          </w:p>
          <w:p w14:paraId="2AE0B102" w14:textId="77777777" w:rsidR="00061C31" w:rsidRDefault="00C039E1" w:rsidP="009A3FE3">
            <w:pPr>
              <w:pStyle w:val="ListParagraph"/>
              <w:spacing w:before="240" w:after="120"/>
              <w:ind w:left="0" w:right="42"/>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Origin Energy is partnering up with Kawasaki Heavy Industries (KHI) to develop a 300 MW hydrogen </w:t>
            </w:r>
            <w:r w:rsidR="00E261F8">
              <w:rPr>
                <w:sz w:val="18"/>
                <w:szCs w:val="18"/>
                <w:lang w:val="en-US"/>
              </w:rPr>
              <w:t>electrolyser</w:t>
            </w:r>
            <w:r w:rsidRPr="00921944">
              <w:rPr>
                <w:sz w:val="18"/>
                <w:szCs w:val="18"/>
                <w:lang w:val="en-US"/>
              </w:rPr>
              <w:t xml:space="preserve"> project for generating and exporting liquid hydrogen to Japan.</w:t>
            </w:r>
            <w:r w:rsidRPr="00921944">
              <w:rPr>
                <w:sz w:val="18"/>
                <w:szCs w:val="18"/>
                <w:lang w:val="en-US"/>
              </w:rPr>
              <w:fldChar w:fldCharType="begin" w:fldLock="1"/>
            </w:r>
            <w:r w:rsidR="00440507">
              <w:rPr>
                <w:sz w:val="18"/>
                <w:szCs w:val="18"/>
                <w:lang w:val="en-US"/>
              </w:rPr>
              <w:instrText>ADDIN CSL_CITATION {"citationItems":[{"id":"ITEM-1","itemData":{"URL":"https://www.originenergy.com.au/about/investors-media/media-centre/green_hydrogen_project_signs_port_mou.html","accessed":{"date-parts":[["2021","4","20"]]},"author":[{"dropping-particle":"","family":"Origin Energy","given":"","non-dropping-particle":"","parse-names":false,"suffix":""}],"container-title":"Media Releases","id":"ITEM-1","issued":{"date-parts":[["2021","4","14"]]},"title":"Green hydrogen project signs port MOU","type":"webpage"},"uris":["http://www.mendeley.com/documents/?uuid=8292d31a-6d5c-3d1f-8110-a4bb3669215b"]}],"mendeley":{"formattedCitation":"&lt;sup&gt;5&lt;/sup&gt;","plainTextFormattedCitation":"5","previouslyFormattedCitation":"&lt;sup&gt;5&lt;/sup&gt;"},"properties":{"noteIndex":0},"schema":"https://github.com/citation-style-language/schema/raw/master/csl-citation.json"}</w:instrText>
            </w:r>
            <w:r w:rsidRPr="00921944">
              <w:rPr>
                <w:sz w:val="18"/>
                <w:szCs w:val="18"/>
                <w:lang w:val="en-US"/>
              </w:rPr>
              <w:fldChar w:fldCharType="separate"/>
            </w:r>
            <w:r w:rsidR="002800B9" w:rsidRPr="002800B9">
              <w:rPr>
                <w:noProof/>
                <w:sz w:val="18"/>
                <w:szCs w:val="18"/>
                <w:vertAlign w:val="superscript"/>
                <w:lang w:val="en-US"/>
              </w:rPr>
              <w:t>5</w:t>
            </w:r>
            <w:r w:rsidRPr="00921944">
              <w:rPr>
                <w:sz w:val="18"/>
                <w:szCs w:val="18"/>
                <w:lang w:val="en-US"/>
              </w:rPr>
              <w:fldChar w:fldCharType="end"/>
            </w:r>
            <w:r w:rsidRPr="00921944">
              <w:rPr>
                <w:sz w:val="18"/>
                <w:szCs w:val="18"/>
                <w:lang w:val="en-US"/>
              </w:rPr>
              <w:t xml:space="preserve"> </w:t>
            </w:r>
          </w:p>
          <w:p w14:paraId="2A6607BC" w14:textId="6CC70A3D" w:rsidR="00921944" w:rsidRPr="00921944" w:rsidRDefault="00C039E1" w:rsidP="009A3FE3">
            <w:pPr>
              <w:pStyle w:val="ListParagraph"/>
              <w:spacing w:before="240" w:after="120"/>
              <w:ind w:left="0" w:right="42"/>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Recently the companies have signed an MoU with the port of Townsville to develop the facility.</w:t>
            </w:r>
            <w:r w:rsidRPr="00921944">
              <w:rPr>
                <w:sz w:val="18"/>
                <w:szCs w:val="18"/>
                <w:lang w:val="en-US"/>
              </w:rPr>
              <w:fldChar w:fldCharType="begin" w:fldLock="1"/>
            </w:r>
            <w:r w:rsidR="00440507">
              <w:rPr>
                <w:sz w:val="18"/>
                <w:szCs w:val="18"/>
                <w:lang w:val="en-US"/>
              </w:rPr>
              <w:instrText>ADDIN CSL_CITATION {"citationItems":[{"id":"ITEM-1","itemData":{"URL":"https://www.afr.com/companies/energy/origin-inks-accord-for-hydrogen-exports-from-townsville-20210414-p57j2c","accessed":{"date-parts":[["2021","4","20"]]},"author":[{"dropping-particle":"","family":"Macdonald-Smith","given":"Angela","non-dropping-particle":"","parse-names":false,"suffix":""}],"container-title":"Australian Financial Review","id":"ITEM-1","issued":{"date-parts":[["2021","4","14"]]},"title":"Origin inks accord for hydrogen exports from Townsville","type":"webpage"},"uris":["http://www.mendeley.com/documents/?uuid=486eb30e-f91f-3c36-b395-fe2402ad39ef"]}],"mendeley":{"formattedCitation":"&lt;sup&gt;6&lt;/sup&gt;","plainTextFormattedCitation":"6","previouslyFormattedCitation":"&lt;sup&gt;6&lt;/sup&gt;"},"properties":{"noteIndex":0},"schema":"https://github.com/citation-style-language/schema/raw/master/csl-citation.json"}</w:instrText>
            </w:r>
            <w:r w:rsidRPr="00921944">
              <w:rPr>
                <w:sz w:val="18"/>
                <w:szCs w:val="18"/>
                <w:lang w:val="en-US"/>
              </w:rPr>
              <w:fldChar w:fldCharType="separate"/>
            </w:r>
            <w:r w:rsidR="002800B9" w:rsidRPr="002800B9">
              <w:rPr>
                <w:noProof/>
                <w:sz w:val="18"/>
                <w:szCs w:val="18"/>
                <w:vertAlign w:val="superscript"/>
                <w:lang w:val="en-US"/>
              </w:rPr>
              <w:t>6</w:t>
            </w:r>
            <w:r w:rsidRPr="00921944">
              <w:rPr>
                <w:sz w:val="18"/>
                <w:szCs w:val="18"/>
                <w:lang w:val="en-US"/>
              </w:rPr>
              <w:fldChar w:fldCharType="end"/>
            </w:r>
            <w:r w:rsidRPr="00921944">
              <w:rPr>
                <w:sz w:val="18"/>
                <w:szCs w:val="18"/>
                <w:lang w:val="en-US"/>
              </w:rPr>
              <w:t xml:space="preserve"> The project is now </w:t>
            </w:r>
            <w:r w:rsidRPr="00921944">
              <w:rPr>
                <w:sz w:val="18"/>
                <w:szCs w:val="18"/>
                <w:lang w:val="en-US"/>
              </w:rPr>
              <w:lastRenderedPageBreak/>
              <w:t>undergoing a FEED process and is expected to be operational by 2025.</w:t>
            </w:r>
            <w:r w:rsidRPr="00921944">
              <w:rPr>
                <w:sz w:val="18"/>
                <w:szCs w:val="18"/>
                <w:lang w:val="en-US"/>
              </w:rPr>
              <w:fldChar w:fldCharType="begin" w:fldLock="1"/>
            </w:r>
            <w:r w:rsidR="00440507">
              <w:rPr>
                <w:sz w:val="18"/>
                <w:szCs w:val="18"/>
                <w:lang w:val="en-US"/>
              </w:rPr>
              <w:instrText>ADDIN CSL_CITATION {"citationItems":[{"id":"ITEM-1","itemData":{"URL":"https://fuelcellsworks.com/news/townsville-mayor-welcomes-hydrogen-agreement-between-origin-energy-and-kawasaki-heavy-industries/","accessed":{"date-parts":[["2021","4","20"]]},"container-title":"FuelCellsWorks","id":"ITEM-1","issued":{"date-parts":[["2021","4","14"]]},"title":"Townsville Mayor Welcomes Hydrogen Agreement Between Origin Energy And Kawasaki Heavy Industries","type":"webpage"},"uris":["http://www.mendeley.com/documents/?uuid=72e392d5-6f3d-3377-a82c-5f12beb74a25"]}],"mendeley":{"formattedCitation":"&lt;sup&gt;7&lt;/sup&gt;","plainTextFormattedCitation":"7","previouslyFormattedCitation":"&lt;sup&gt;7&lt;/sup&gt;"},"properties":{"noteIndex":0},"schema":"https://github.com/citation-style-language/schema/raw/master/csl-citation.json"}</w:instrText>
            </w:r>
            <w:r w:rsidRPr="00921944">
              <w:rPr>
                <w:sz w:val="18"/>
                <w:szCs w:val="18"/>
                <w:lang w:val="en-US"/>
              </w:rPr>
              <w:fldChar w:fldCharType="separate"/>
            </w:r>
            <w:r w:rsidR="002800B9" w:rsidRPr="002800B9">
              <w:rPr>
                <w:noProof/>
                <w:sz w:val="18"/>
                <w:szCs w:val="18"/>
                <w:vertAlign w:val="superscript"/>
                <w:lang w:val="en-US"/>
              </w:rPr>
              <w:t>7</w:t>
            </w:r>
            <w:r w:rsidRPr="00921944">
              <w:rPr>
                <w:sz w:val="18"/>
                <w:szCs w:val="18"/>
                <w:lang w:val="en-US"/>
              </w:rPr>
              <w:fldChar w:fldCharType="end"/>
            </w:r>
          </w:p>
        </w:tc>
        <w:tc>
          <w:tcPr>
            <w:tcW w:w="1377" w:type="dxa"/>
          </w:tcPr>
          <w:p w14:paraId="2743903D"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lastRenderedPageBreak/>
              <w:t xml:space="preserve">Townsville, </w:t>
            </w:r>
          </w:p>
          <w:p w14:paraId="66013EF0"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Qld</w:t>
            </w:r>
          </w:p>
        </w:tc>
        <w:tc>
          <w:tcPr>
            <w:tcW w:w="2059" w:type="dxa"/>
          </w:tcPr>
          <w:p w14:paraId="58D861AA" w14:textId="42F0F0F4" w:rsidR="00C039E1" w:rsidRPr="00921944" w:rsidRDefault="00C039E1" w:rsidP="00BA2C8B">
            <w:pPr>
              <w:pStyle w:val="ListParagraph"/>
              <w:tabs>
                <w:tab w:val="clear" w:pos="357"/>
              </w:tabs>
              <w:ind w:left="3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36.5 </w:t>
            </w:r>
            <w:proofErr w:type="spellStart"/>
            <w:r w:rsidRPr="00921944">
              <w:rPr>
                <w:sz w:val="18"/>
                <w:szCs w:val="18"/>
                <w:lang w:val="en-US"/>
              </w:rPr>
              <w:t>ktpa</w:t>
            </w:r>
            <w:proofErr w:type="spellEnd"/>
            <w:r w:rsidR="008A630B">
              <w:rPr>
                <w:sz w:val="18"/>
                <w:szCs w:val="18"/>
                <w:lang w:val="en-US"/>
              </w:rPr>
              <w:t xml:space="preserve"> of H</w:t>
            </w:r>
            <w:r w:rsidR="008A630B" w:rsidRPr="008A630B">
              <w:rPr>
                <w:sz w:val="18"/>
                <w:szCs w:val="18"/>
                <w:vertAlign w:val="subscript"/>
                <w:lang w:val="en-US"/>
              </w:rPr>
              <w:t>2</w:t>
            </w:r>
          </w:p>
          <w:p w14:paraId="7BB65A61" w14:textId="245173C0" w:rsidR="00C039E1" w:rsidRPr="00921944" w:rsidRDefault="00C039E1" w:rsidP="00BA2C8B">
            <w:pPr>
              <w:pStyle w:val="ListParagraph"/>
              <w:tabs>
                <w:tab w:val="clear" w:pos="357"/>
              </w:tabs>
              <w:ind w:left="3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(300 MW </w:t>
            </w:r>
            <w:r w:rsidR="0053565C">
              <w:rPr>
                <w:sz w:val="18"/>
                <w:szCs w:val="18"/>
                <w:lang w:val="en-US"/>
              </w:rPr>
              <w:t>electrolyser</w:t>
            </w:r>
            <w:r w:rsidRPr="00921944">
              <w:rPr>
                <w:sz w:val="18"/>
                <w:szCs w:val="18"/>
                <w:lang w:val="en-US"/>
              </w:rPr>
              <w:t>)</w:t>
            </w:r>
          </w:p>
          <w:p w14:paraId="0027A6DB" w14:textId="44B72689" w:rsidR="004F47B3" w:rsidRPr="00921944" w:rsidRDefault="004F47B3"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64" w:type="dxa"/>
          </w:tcPr>
          <w:p w14:paraId="0C38C8D9"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Study</w:t>
            </w:r>
          </w:p>
          <w:p w14:paraId="797DE387"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388" w:type="dxa"/>
          </w:tcPr>
          <w:p w14:paraId="6D8EB12F" w14:textId="77777777" w:rsidR="00C039E1" w:rsidRPr="00921944" w:rsidRDefault="00C039E1"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1374" w:type="dxa"/>
          </w:tcPr>
          <w:p w14:paraId="1630526F" w14:textId="0F066ED1" w:rsidR="00C039E1" w:rsidRPr="00921944" w:rsidRDefault="28449894" w:rsidP="00BA2C8B">
            <w:pPr>
              <w:pStyle w:val="ListParagraph"/>
              <w:spacing w:after="120"/>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66866E5E" wp14:editId="503AE3EC">
                  <wp:extent cx="461882" cy="477078"/>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56D737A0" w14:textId="77777777" w:rsidR="00C039E1" w:rsidRPr="00921944" w:rsidRDefault="00C039E1" w:rsidP="00BA2C8B">
            <w:pPr>
              <w:pStyle w:val="ListParagraph"/>
              <w:tabs>
                <w:tab w:val="clear" w:pos="357"/>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FEED study being conducted. (Operation targeted for 2025)</w:t>
            </w:r>
          </w:p>
        </w:tc>
      </w:tr>
      <w:tr w:rsidR="00C670EC" w:rsidRPr="00921944" w14:paraId="148E1D72"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0DA16711" w14:textId="77777777" w:rsidR="00C039E1" w:rsidRPr="00722910" w:rsidRDefault="00C039E1" w:rsidP="00BA2C8B">
            <w:pPr>
              <w:pStyle w:val="ListParagraph"/>
              <w:ind w:left="0"/>
              <w:rPr>
                <w:sz w:val="18"/>
                <w:szCs w:val="18"/>
                <w:lang w:val="en-US"/>
              </w:rPr>
            </w:pPr>
            <w:r w:rsidRPr="00722910">
              <w:rPr>
                <w:sz w:val="18"/>
                <w:szCs w:val="18"/>
                <w:lang w:val="en-US"/>
              </w:rPr>
              <w:t xml:space="preserve">3. </w:t>
            </w:r>
          </w:p>
        </w:tc>
        <w:tc>
          <w:tcPr>
            <w:tcW w:w="3396" w:type="dxa"/>
            <w:shd w:val="clear" w:color="auto" w:fill="FFFFFF" w:themeFill="background1"/>
          </w:tcPr>
          <w:p w14:paraId="03FBA316" w14:textId="77777777" w:rsidR="00C039E1" w:rsidRPr="00921944" w:rsidRDefault="00C039E1" w:rsidP="00BA2C8B">
            <w:pPr>
              <w:pStyle w:val="ListParagraph"/>
              <w:ind w:left="0" w:right="42"/>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proofErr w:type="spellStart"/>
            <w:r w:rsidRPr="00921944">
              <w:rPr>
                <w:b/>
                <w:bCs/>
                <w:sz w:val="18"/>
                <w:szCs w:val="18"/>
                <w:lang w:val="en-US"/>
              </w:rPr>
              <w:t>SunHQ</w:t>
            </w:r>
            <w:proofErr w:type="spellEnd"/>
            <w:r w:rsidRPr="00921944">
              <w:rPr>
                <w:b/>
                <w:bCs/>
                <w:sz w:val="18"/>
                <w:szCs w:val="18"/>
                <w:lang w:val="en-US"/>
              </w:rPr>
              <w:t xml:space="preserve"> Project</w:t>
            </w:r>
          </w:p>
          <w:p w14:paraId="72F1C985" w14:textId="3C09FDA7" w:rsidR="00C039E1" w:rsidRDefault="00C039E1" w:rsidP="009A3FE3">
            <w:pPr>
              <w:pStyle w:val="ListParagraph"/>
              <w:spacing w:before="240" w:after="120"/>
              <w:ind w:left="0" w:right="42"/>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Sun Metals Corporation Pty Ltd</w:t>
            </w:r>
            <w:r w:rsidR="00BE1658">
              <w:rPr>
                <w:sz w:val="18"/>
                <w:szCs w:val="18"/>
                <w:lang w:val="en-US"/>
              </w:rPr>
              <w:t xml:space="preserve"> is</w:t>
            </w:r>
            <w:r w:rsidRPr="00921944">
              <w:rPr>
                <w:sz w:val="18"/>
                <w:szCs w:val="18"/>
                <w:lang w:val="en-US"/>
              </w:rPr>
              <w:t xml:space="preserve"> developing a 1 MW </w:t>
            </w:r>
            <w:r w:rsidR="00E261F8">
              <w:rPr>
                <w:sz w:val="18"/>
                <w:szCs w:val="18"/>
                <w:lang w:val="en-US"/>
              </w:rPr>
              <w:t>electrolyser</w:t>
            </w:r>
            <w:r w:rsidRPr="00921944">
              <w:rPr>
                <w:sz w:val="18"/>
                <w:szCs w:val="18"/>
                <w:lang w:val="en-US"/>
              </w:rPr>
              <w:t xml:space="preserve"> </w:t>
            </w:r>
            <w:r w:rsidR="00BE1658">
              <w:rPr>
                <w:sz w:val="18"/>
                <w:szCs w:val="18"/>
                <w:lang w:val="en-US"/>
              </w:rPr>
              <w:t xml:space="preserve">system </w:t>
            </w:r>
            <w:r w:rsidRPr="00921944">
              <w:rPr>
                <w:sz w:val="18"/>
                <w:szCs w:val="18"/>
                <w:lang w:val="en-US"/>
              </w:rPr>
              <w:t>at their zinc processing facility</w:t>
            </w:r>
            <w:r w:rsidR="004B3254">
              <w:rPr>
                <w:sz w:val="18"/>
                <w:szCs w:val="18"/>
                <w:lang w:val="en-US"/>
              </w:rPr>
              <w:t>.</w:t>
            </w:r>
            <w:r w:rsidRPr="00921944">
              <w:rPr>
                <w:sz w:val="18"/>
                <w:szCs w:val="18"/>
                <w:lang w:val="en-US"/>
              </w:rPr>
              <w:t xml:space="preserve"> The hydrogen will be used to power </w:t>
            </w:r>
            <w:r w:rsidR="008770F1">
              <w:rPr>
                <w:sz w:val="18"/>
                <w:szCs w:val="18"/>
                <w:lang w:val="en-US"/>
              </w:rPr>
              <w:t xml:space="preserve">fuel cell </w:t>
            </w:r>
            <w:r w:rsidRPr="00921944">
              <w:rPr>
                <w:sz w:val="18"/>
                <w:szCs w:val="18"/>
                <w:lang w:val="en-US"/>
              </w:rPr>
              <w:t xml:space="preserve">vehicles </w:t>
            </w:r>
            <w:r w:rsidR="008C70E8">
              <w:rPr>
                <w:sz w:val="18"/>
                <w:szCs w:val="18"/>
                <w:lang w:val="en-US"/>
              </w:rPr>
              <w:t xml:space="preserve">sourced by Ark Energy </w:t>
            </w:r>
            <w:r w:rsidR="005C7205">
              <w:rPr>
                <w:sz w:val="18"/>
                <w:szCs w:val="18"/>
                <w:lang w:val="en-US"/>
              </w:rPr>
              <w:t xml:space="preserve">to </w:t>
            </w:r>
            <w:r w:rsidRPr="00921944">
              <w:rPr>
                <w:sz w:val="18"/>
                <w:szCs w:val="18"/>
                <w:lang w:val="en-US"/>
              </w:rPr>
              <w:t xml:space="preserve">replace the </w:t>
            </w:r>
            <w:r w:rsidR="008770F1">
              <w:rPr>
                <w:sz w:val="18"/>
                <w:szCs w:val="18"/>
                <w:lang w:val="en-US"/>
              </w:rPr>
              <w:t xml:space="preserve">current </w:t>
            </w:r>
            <w:r w:rsidRPr="00921944">
              <w:rPr>
                <w:sz w:val="18"/>
                <w:szCs w:val="18"/>
                <w:lang w:val="en-US"/>
              </w:rPr>
              <w:t>diesel operated fleet</w:t>
            </w:r>
            <w:r w:rsidR="008770F1">
              <w:rPr>
                <w:sz w:val="18"/>
                <w:szCs w:val="18"/>
                <w:lang w:val="en-US"/>
              </w:rPr>
              <w:t xml:space="preserve"> used at site</w:t>
            </w:r>
            <w:r w:rsidR="005C7205">
              <w:rPr>
                <w:sz w:val="18"/>
                <w:szCs w:val="18"/>
                <w:lang w:val="en-US"/>
              </w:rPr>
              <w:t>.</w:t>
            </w:r>
            <w:r w:rsidRPr="00921944" w:rsidDel="005C7205">
              <w:rPr>
                <w:sz w:val="18"/>
                <w:szCs w:val="18"/>
                <w:lang w:val="en-US"/>
              </w:rPr>
              <w:t xml:space="preserve"> </w:t>
            </w:r>
            <w:r w:rsidRPr="00921944">
              <w:rPr>
                <w:sz w:val="18"/>
                <w:szCs w:val="18"/>
                <w:lang w:val="en-US"/>
              </w:rPr>
              <w:t>The project was provided $5 million in funding as part of Qld Government’s Hydrogen industry fund development.</w:t>
            </w:r>
            <w:r w:rsidRPr="00921944">
              <w:rPr>
                <w:sz w:val="18"/>
                <w:szCs w:val="18"/>
                <w:lang w:val="en-US"/>
              </w:rPr>
              <w:fldChar w:fldCharType="begin" w:fldLock="1"/>
            </w:r>
            <w:r w:rsidR="00440507">
              <w:rPr>
                <w:sz w:val="18"/>
                <w:szCs w:val="18"/>
                <w:lang w:val="en-US"/>
              </w:rPr>
              <w:instrText>ADDIN CSL_CITATION {"citationItems":[{"id":"ITEM-1","itemData":{"URL":"https://research.csiro.au/hyresource/sun-metals-hydrogen-queensland-sunhq-project/","accessed":{"date-parts":[["2021","4","19"]]},"author":[{"dropping-particle":"","family":"CSIRO","given":"","non-dropping-particle":"","parse-names":false,"suffix":""}],"container-title":"HyResource","id":"ITEM-1","issued":{"date-parts":[["2020","9","23"]]},"title":"Sun Metals Hydrogen Queensland SunHQ Project","type":"webpage"},"uris":["http://www.mendeley.com/documents/?uuid=fe4d8c32-7b5e-34de-a1a8-075b4d3b2c9e"]}],"mendeley":{"formattedCitation":"&lt;sup&gt;8&lt;/sup&gt;","plainTextFormattedCitation":"8","previouslyFormattedCitation":"&lt;sup&gt;8&lt;/sup&gt;"},"properties":{"noteIndex":0},"schema":"https://github.com/citation-style-language/schema/raw/master/csl-citation.json"}</w:instrText>
            </w:r>
            <w:r w:rsidRPr="00921944">
              <w:rPr>
                <w:sz w:val="18"/>
                <w:szCs w:val="18"/>
                <w:lang w:val="en-US"/>
              </w:rPr>
              <w:fldChar w:fldCharType="separate"/>
            </w:r>
            <w:r w:rsidR="002800B9" w:rsidRPr="002800B9">
              <w:rPr>
                <w:noProof/>
                <w:sz w:val="18"/>
                <w:szCs w:val="18"/>
                <w:vertAlign w:val="superscript"/>
                <w:lang w:val="en-US"/>
              </w:rPr>
              <w:t>8</w:t>
            </w:r>
            <w:r w:rsidRPr="00921944">
              <w:rPr>
                <w:sz w:val="18"/>
                <w:szCs w:val="18"/>
                <w:lang w:val="en-US"/>
              </w:rPr>
              <w:fldChar w:fldCharType="end"/>
            </w:r>
          </w:p>
          <w:p w14:paraId="67AC4766" w14:textId="672B8EC9" w:rsidR="00843D51" w:rsidRPr="00921944" w:rsidRDefault="002B75AD" w:rsidP="009A3FE3">
            <w:pPr>
              <w:pStyle w:val="ListParagraph"/>
              <w:spacing w:before="240" w:after="120"/>
              <w:ind w:left="0" w:right="42"/>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Further phases of the project will include increasing capacity for domestic use and </w:t>
            </w:r>
            <w:r w:rsidR="00440507">
              <w:rPr>
                <w:sz w:val="18"/>
                <w:szCs w:val="18"/>
                <w:lang w:val="en-US"/>
              </w:rPr>
              <w:t>develop an export economy for green hydrogen to Korea.</w:t>
            </w:r>
            <w:r w:rsidR="00440507">
              <w:rPr>
                <w:sz w:val="18"/>
                <w:szCs w:val="18"/>
                <w:lang w:val="en-US"/>
              </w:rPr>
              <w:fldChar w:fldCharType="begin" w:fldLock="1"/>
            </w:r>
            <w:r w:rsidR="009D03A1">
              <w:rPr>
                <w:sz w:val="18"/>
                <w:szCs w:val="18"/>
                <w:lang w:val="en-US"/>
              </w:rPr>
              <w:instrText>ADDIN CSL_CITATION {"citationItems":[{"id":"ITEM-1","itemData":{"URL":"https://research.csiro.au/hyresource/sun-metals-hydrogen-queensland-sunhq-project/","accessed":{"date-parts":[["2021","4","19"]]},"author":[{"dropping-particle":"","family":"CSIRO","given":"","non-dropping-particle":"","parse-names":false,"suffix":""}],"container-title":"HyResource","id":"ITEM-1","issued":{"date-parts":[["2020","9","23"]]},"title":"Sun Metals Hydrogen Queensland SunHQ Project","type":"webpage"},"uris":["http://www.mendeley.com/documents/?uuid=fe4d8c32-7b5e-34de-a1a8-075b4d3b2c9e"]}],"mendeley":{"formattedCitation":"&lt;sup&gt;8&lt;/sup&gt;","plainTextFormattedCitation":"8","previouslyFormattedCitation":"&lt;sup&gt;8&lt;/sup&gt;"},"properties":{"noteIndex":0},"schema":"https://github.com/citation-style-language/schema/raw/master/csl-citation.json"}</w:instrText>
            </w:r>
            <w:r w:rsidR="00440507">
              <w:rPr>
                <w:sz w:val="18"/>
                <w:szCs w:val="18"/>
                <w:lang w:val="en-US"/>
              </w:rPr>
              <w:fldChar w:fldCharType="separate"/>
            </w:r>
            <w:r w:rsidR="00440507" w:rsidRPr="00440507">
              <w:rPr>
                <w:noProof/>
                <w:sz w:val="18"/>
                <w:szCs w:val="18"/>
                <w:vertAlign w:val="superscript"/>
                <w:lang w:val="en-US"/>
              </w:rPr>
              <w:t>8</w:t>
            </w:r>
            <w:r w:rsidR="00440507">
              <w:rPr>
                <w:sz w:val="18"/>
                <w:szCs w:val="18"/>
                <w:lang w:val="en-US"/>
              </w:rPr>
              <w:fldChar w:fldCharType="end"/>
            </w:r>
          </w:p>
        </w:tc>
        <w:tc>
          <w:tcPr>
            <w:tcW w:w="1377" w:type="dxa"/>
            <w:shd w:val="clear" w:color="auto" w:fill="FFFFFF" w:themeFill="background1"/>
          </w:tcPr>
          <w:p w14:paraId="573C0E09"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 xml:space="preserve">Stuart, </w:t>
            </w:r>
          </w:p>
          <w:p w14:paraId="35F36462"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Qld</w:t>
            </w:r>
          </w:p>
        </w:tc>
        <w:tc>
          <w:tcPr>
            <w:tcW w:w="2059" w:type="dxa"/>
            <w:shd w:val="clear" w:color="auto" w:fill="FFFFFF" w:themeFill="background1"/>
          </w:tcPr>
          <w:p w14:paraId="555ED9C5" w14:textId="1D10F9A6" w:rsidR="00C039E1" w:rsidRPr="00921944" w:rsidRDefault="006B2DFE" w:rsidP="00BA2C8B">
            <w:pPr>
              <w:pStyle w:val="ListParagraph"/>
              <w:tabs>
                <w:tab w:val="clear" w:pos="357"/>
                <w:tab w:val="left" w:pos="949"/>
              </w:tabs>
              <w:ind w:left="39"/>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140 </w:t>
            </w:r>
            <w:proofErr w:type="spellStart"/>
            <w:r>
              <w:rPr>
                <w:sz w:val="18"/>
                <w:szCs w:val="18"/>
                <w:lang w:val="en-US"/>
              </w:rPr>
              <w:t>tpa</w:t>
            </w:r>
            <w:proofErr w:type="spellEnd"/>
          </w:p>
          <w:p w14:paraId="32D53010" w14:textId="2F460CD4" w:rsidR="00C039E1" w:rsidRPr="00921944" w:rsidRDefault="00C039E1" w:rsidP="00BA2C8B">
            <w:pPr>
              <w:pStyle w:val="ListParagraph"/>
              <w:tabs>
                <w:tab w:val="clear" w:pos="357"/>
                <w:tab w:val="left" w:pos="949"/>
              </w:tabs>
              <w:ind w:left="39"/>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(1 MW </w:t>
            </w:r>
            <w:r w:rsidR="00E261F8">
              <w:rPr>
                <w:sz w:val="18"/>
                <w:szCs w:val="18"/>
                <w:lang w:val="en-US"/>
              </w:rPr>
              <w:t>electrolyser</w:t>
            </w:r>
            <w:r w:rsidRPr="00921944">
              <w:rPr>
                <w:sz w:val="18"/>
                <w:szCs w:val="18"/>
                <w:lang w:val="en-US"/>
              </w:rPr>
              <w:t>)</w:t>
            </w:r>
          </w:p>
        </w:tc>
        <w:tc>
          <w:tcPr>
            <w:tcW w:w="2064" w:type="dxa"/>
            <w:shd w:val="clear" w:color="auto" w:fill="FFFFFF" w:themeFill="background1"/>
          </w:tcPr>
          <w:p w14:paraId="4C8F7CDF" w14:textId="1527131D"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Commercial Plant</w:t>
            </w:r>
          </w:p>
        </w:tc>
        <w:tc>
          <w:tcPr>
            <w:tcW w:w="1388" w:type="dxa"/>
            <w:shd w:val="clear" w:color="auto" w:fill="FFFFFF" w:themeFill="background1"/>
          </w:tcPr>
          <w:p w14:paraId="37B655DF" w14:textId="1FF0A3EF" w:rsidR="00C039E1" w:rsidRPr="00921944" w:rsidRDefault="28449894" w:rsidP="00BA2C8B">
            <w:pPr>
              <w:pStyle w:val="ListParagraph"/>
              <w:spacing w:after="12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4631D5D2" wp14:editId="34999604">
                  <wp:extent cx="461882" cy="477078"/>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69092433" w14:textId="77777777" w:rsidR="00C039E1" w:rsidRPr="00921944" w:rsidRDefault="00C039E1"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FFFFFF" w:themeFill="background1"/>
          </w:tcPr>
          <w:p w14:paraId="1EBEB0B7" w14:textId="082C74B6" w:rsidR="00C039E1" w:rsidRPr="00921944" w:rsidRDefault="00C039E1" w:rsidP="00BA2C8B">
            <w:pPr>
              <w:pStyle w:val="ListParagraph"/>
              <w:tabs>
                <w:tab w:val="clear" w:pos="357"/>
              </w:tabs>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Final stages of project development. (Construction anticipated by Q1 2021</w:t>
            </w:r>
            <w:r w:rsidR="005505E7">
              <w:rPr>
                <w:sz w:val="18"/>
                <w:szCs w:val="18"/>
                <w:lang w:val="en-US"/>
              </w:rPr>
              <w:t xml:space="preserve"> – Operation </w:t>
            </w:r>
            <w:r w:rsidR="004B5DC6">
              <w:rPr>
                <w:sz w:val="18"/>
                <w:szCs w:val="18"/>
                <w:lang w:val="en-US"/>
              </w:rPr>
              <w:t>anticipated by Q2 - 2023</w:t>
            </w:r>
            <w:r w:rsidRPr="00921944">
              <w:rPr>
                <w:sz w:val="18"/>
                <w:szCs w:val="18"/>
                <w:lang w:val="en-US"/>
              </w:rPr>
              <w:t>)</w:t>
            </w:r>
          </w:p>
        </w:tc>
      </w:tr>
      <w:tr w:rsidR="00BF0D8C" w:rsidRPr="00921944" w14:paraId="2FBC3004"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6D350DEC" w14:textId="65B7D476" w:rsidR="00BF0D8C" w:rsidRPr="00722910" w:rsidRDefault="00BF0D8C" w:rsidP="00BF0D8C">
            <w:pPr>
              <w:pStyle w:val="ListParagraph"/>
              <w:ind w:left="0"/>
              <w:rPr>
                <w:sz w:val="18"/>
                <w:szCs w:val="18"/>
                <w:lang w:val="en-US"/>
              </w:rPr>
            </w:pPr>
            <w:r>
              <w:rPr>
                <w:sz w:val="18"/>
                <w:szCs w:val="18"/>
                <w:lang w:val="en-US"/>
              </w:rPr>
              <w:t>4.</w:t>
            </w:r>
          </w:p>
        </w:tc>
        <w:tc>
          <w:tcPr>
            <w:tcW w:w="3396" w:type="dxa"/>
          </w:tcPr>
          <w:p w14:paraId="6DFEDA74" w14:textId="77777777" w:rsidR="00BF0D8C" w:rsidRPr="00921944" w:rsidRDefault="00BF0D8C" w:rsidP="00BF0D8C">
            <w:pPr>
              <w:pStyle w:val="ListParagraph"/>
              <w:ind w:left="0" w:right="119"/>
              <w:contextualSpacing w:val="0"/>
              <w:jc w:val="both"/>
              <w:cnfStyle w:val="000000000000" w:firstRow="0" w:lastRow="0" w:firstColumn="0" w:lastColumn="0" w:oddVBand="0" w:evenVBand="0" w:oddHBand="0" w:evenHBand="0" w:firstRowFirstColumn="0" w:firstRowLastColumn="0" w:lastRowFirstColumn="0" w:lastRowLastColumn="0"/>
              <w:rPr>
                <w:b/>
                <w:bCs/>
                <w:color w:val="auto"/>
                <w:sz w:val="18"/>
                <w:szCs w:val="18"/>
                <w:lang w:val="en-US"/>
              </w:rPr>
            </w:pPr>
            <w:r w:rsidRPr="00921944">
              <w:rPr>
                <w:b/>
                <w:bCs/>
                <w:color w:val="auto"/>
                <w:sz w:val="18"/>
                <w:szCs w:val="18"/>
                <w:lang w:val="en-US"/>
              </w:rPr>
              <w:t>Abbot Point Clean Energy Hub</w:t>
            </w:r>
          </w:p>
          <w:p w14:paraId="650F735F" w14:textId="77777777" w:rsidR="00BF0D8C" w:rsidRDefault="00BF0D8C" w:rsidP="00BF0D8C">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The Abbot Point Clean Energy Hub has been proposed for development in the Abbot Point State Development Area</w:t>
            </w:r>
            <w:r>
              <w:rPr>
                <w:color w:val="auto"/>
                <w:sz w:val="18"/>
                <w:szCs w:val="18"/>
                <w:lang w:val="en-US"/>
              </w:rPr>
              <w:t xml:space="preserve"> by Energy Estate</w:t>
            </w:r>
            <w:r w:rsidRPr="00921944">
              <w:rPr>
                <w:color w:val="auto"/>
                <w:sz w:val="18"/>
                <w:szCs w:val="18"/>
                <w:lang w:val="en-US"/>
              </w:rPr>
              <w:t xml:space="preserve">. </w:t>
            </w:r>
          </w:p>
          <w:p w14:paraId="1CC9FE9F" w14:textId="77777777" w:rsidR="00BF0D8C" w:rsidRDefault="00BF0D8C" w:rsidP="00BF0D8C">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The hub is expected to host hydrogen, freshwater, and renewable electricity production</w:t>
            </w:r>
            <w:r>
              <w:rPr>
                <w:color w:val="auto"/>
                <w:sz w:val="18"/>
                <w:szCs w:val="18"/>
                <w:lang w:val="en-US"/>
              </w:rPr>
              <w:t xml:space="preserve"> facilities</w:t>
            </w:r>
            <w:r w:rsidRPr="00921944">
              <w:rPr>
                <w:color w:val="auto"/>
                <w:sz w:val="18"/>
                <w:szCs w:val="18"/>
                <w:lang w:val="en-US"/>
              </w:rPr>
              <w:t xml:space="preserve">. </w:t>
            </w:r>
          </w:p>
          <w:p w14:paraId="27640D93" w14:textId="05843BC9" w:rsidR="00BF0D8C" w:rsidRPr="00921944" w:rsidRDefault="00BF0D8C" w:rsidP="00BF0D8C">
            <w:pPr>
              <w:pStyle w:val="ListParagraph"/>
              <w:ind w:left="0" w:right="42"/>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Pr>
                <w:color w:val="auto"/>
                <w:sz w:val="18"/>
                <w:szCs w:val="18"/>
                <w:lang w:val="en-US"/>
              </w:rPr>
              <w:t xml:space="preserve">The project is expected to be built in stages, with the initial stage involving export of 20 </w:t>
            </w:r>
            <w:proofErr w:type="spellStart"/>
            <w:r>
              <w:rPr>
                <w:color w:val="auto"/>
                <w:sz w:val="18"/>
                <w:szCs w:val="18"/>
                <w:lang w:val="en-US"/>
              </w:rPr>
              <w:t>tpd</w:t>
            </w:r>
            <w:proofErr w:type="spellEnd"/>
            <w:r>
              <w:rPr>
                <w:color w:val="auto"/>
                <w:sz w:val="18"/>
                <w:szCs w:val="18"/>
                <w:lang w:val="en-US"/>
              </w:rPr>
              <w:t xml:space="preserve"> of hydrogen. The upfront cost of the infrastructure is estimated in the region of A$2.5 – 3.5 billion.</w:t>
            </w:r>
            <w:r>
              <w:rPr>
                <w:color w:val="auto"/>
                <w:sz w:val="18"/>
                <w:szCs w:val="18"/>
                <w:lang w:val="en-US"/>
              </w:rPr>
              <w:fldChar w:fldCharType="begin" w:fldLock="1"/>
            </w:r>
            <w:r w:rsidR="00D21B34">
              <w:rPr>
                <w:color w:val="auto"/>
                <w:sz w:val="18"/>
                <w:szCs w:val="18"/>
                <w:lang w:val="en-US"/>
              </w:rPr>
              <w:instrText>ADDIN CSL_CITATION {"citationItems":[{"id":"ITEM-1","itemData":{"URL":"https://www.abbotpointcleanenergy.com.au/news","accessed":{"date-parts":[["2021","7","26"]]},"author":[{"dropping-particle":"","family":"Burgess","given":"Kate","non-dropping-particle":"","parse-names":false,"suffix":""}],"container-title":"Inframation News","id":"ITEM-1","issued":{"date-parts":[["2021"]]},"title":"Developer seeks partners for Abbot Point Hydrogen Export Hub","type":"webpage"},"uris":["http://www.mendeley.com/documents/?uuid=436021dc-7c10-39b7-ba08-52903af39b22"]}],"mendeley":{"formattedCitation":"&lt;sup&gt;9&lt;/sup&gt;","plainTextFormattedCitation":"9","previouslyFormattedCitation":"&lt;sup&gt;9&lt;/sup&gt;"},"properties":{"noteIndex":0},"schema":"https://github.com/citation-style-language/schema/raw/master/csl-citation.json"}</w:instrText>
            </w:r>
            <w:r>
              <w:rPr>
                <w:color w:val="auto"/>
                <w:sz w:val="18"/>
                <w:szCs w:val="18"/>
                <w:lang w:val="en-US"/>
              </w:rPr>
              <w:fldChar w:fldCharType="separate"/>
            </w:r>
            <w:r w:rsidR="00C3381F" w:rsidRPr="00C3381F">
              <w:rPr>
                <w:noProof/>
                <w:color w:val="auto"/>
                <w:sz w:val="18"/>
                <w:szCs w:val="18"/>
                <w:vertAlign w:val="superscript"/>
                <w:lang w:val="en-US"/>
              </w:rPr>
              <w:t>9</w:t>
            </w:r>
            <w:r>
              <w:rPr>
                <w:color w:val="auto"/>
                <w:sz w:val="18"/>
                <w:szCs w:val="18"/>
                <w:lang w:val="en-US"/>
              </w:rPr>
              <w:fldChar w:fldCharType="end"/>
            </w:r>
          </w:p>
        </w:tc>
        <w:tc>
          <w:tcPr>
            <w:tcW w:w="1377" w:type="dxa"/>
          </w:tcPr>
          <w:p w14:paraId="230471FF"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Bowen</w:t>
            </w:r>
            <w:r>
              <w:rPr>
                <w:sz w:val="18"/>
                <w:szCs w:val="18"/>
                <w:lang w:val="en-US"/>
              </w:rPr>
              <w:t>,</w:t>
            </w:r>
          </w:p>
          <w:p w14:paraId="4469772D" w14:textId="7C95F862"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sz w:val="18"/>
                <w:szCs w:val="18"/>
                <w:lang w:val="en-US"/>
              </w:rPr>
              <w:t>Qld.</w:t>
            </w:r>
          </w:p>
        </w:tc>
        <w:tc>
          <w:tcPr>
            <w:tcW w:w="2059" w:type="dxa"/>
          </w:tcPr>
          <w:p w14:paraId="2066C303"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Initial Stage Capacity:</w:t>
            </w:r>
          </w:p>
          <w:p w14:paraId="215403DD"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2F24EA7C" w14:textId="77777777" w:rsidR="00BF0D8C" w:rsidRDefault="00BF0D8C" w:rsidP="00BF0D8C">
            <w:pPr>
              <w:pStyle w:val="ListParagraph"/>
              <w:numPr>
                <w:ilvl w:val="0"/>
                <w:numId w:val="45"/>
              </w:numPr>
              <w:ind w:left="401"/>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260 MW solar farm + 600 MW wind farm</w:t>
            </w:r>
          </w:p>
          <w:p w14:paraId="36446F8A" w14:textId="77777777" w:rsidR="00BF0D8C" w:rsidRDefault="00BF0D8C" w:rsidP="00BF0D8C">
            <w:pPr>
              <w:pStyle w:val="ListParagraph"/>
              <w:ind w:left="401"/>
              <w:cnfStyle w:val="000000000000" w:firstRow="0" w:lastRow="0" w:firstColumn="0" w:lastColumn="0" w:oddVBand="0" w:evenVBand="0" w:oddHBand="0" w:evenHBand="0" w:firstRowFirstColumn="0" w:firstRowLastColumn="0" w:lastRowFirstColumn="0" w:lastRowLastColumn="0"/>
              <w:rPr>
                <w:sz w:val="18"/>
                <w:szCs w:val="18"/>
                <w:lang w:val="en-US"/>
              </w:rPr>
            </w:pPr>
          </w:p>
          <w:p w14:paraId="7A77C876" w14:textId="77777777" w:rsidR="00BF0D8C" w:rsidRPr="006C1A1F" w:rsidRDefault="00BF0D8C" w:rsidP="00BF0D8C">
            <w:pPr>
              <w:pStyle w:val="ListParagraph"/>
              <w:numPr>
                <w:ilvl w:val="0"/>
                <w:numId w:val="45"/>
              </w:numPr>
              <w:ind w:left="401"/>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20 </w:t>
            </w:r>
            <w:proofErr w:type="spellStart"/>
            <w:r>
              <w:rPr>
                <w:sz w:val="18"/>
                <w:szCs w:val="18"/>
                <w:lang w:val="en-US"/>
              </w:rPr>
              <w:t>tpd</w:t>
            </w:r>
            <w:proofErr w:type="spellEnd"/>
            <w:r>
              <w:rPr>
                <w:sz w:val="18"/>
                <w:szCs w:val="18"/>
                <w:lang w:val="en-US"/>
              </w:rPr>
              <w:t xml:space="preserve"> of H</w:t>
            </w:r>
            <w:r w:rsidRPr="006C1A1F">
              <w:rPr>
                <w:sz w:val="18"/>
                <w:szCs w:val="18"/>
                <w:vertAlign w:val="subscript"/>
                <w:lang w:val="en-US"/>
              </w:rPr>
              <w:t>2</w:t>
            </w:r>
          </w:p>
          <w:p w14:paraId="60525412" w14:textId="77777777" w:rsidR="00BF0D8C" w:rsidRDefault="00BF0D8C" w:rsidP="00BF0D8C">
            <w:pPr>
              <w:ind w:left="401"/>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(50 MW electrolyser)</w:t>
            </w:r>
          </w:p>
          <w:p w14:paraId="51702475" w14:textId="77777777" w:rsidR="00BF0D8C"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p>
          <w:p w14:paraId="56338840" w14:textId="77777777" w:rsidR="00BF0D8C" w:rsidRDefault="00BF0D8C" w:rsidP="00BF0D8C">
            <w:pPr>
              <w:pStyle w:val="ListParagraph"/>
              <w:numPr>
                <w:ilvl w:val="0"/>
                <w:numId w:val="45"/>
              </w:numPr>
              <w:ind w:left="401"/>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50 Mega liter/day desalination plant</w:t>
            </w:r>
          </w:p>
          <w:p w14:paraId="1D0DCAB9" w14:textId="77777777" w:rsidR="00BF0D8C" w:rsidRDefault="00BF0D8C" w:rsidP="00BF0D8C">
            <w:pPr>
              <w:pStyle w:val="ListParagraph"/>
              <w:tabs>
                <w:tab w:val="clear" w:pos="357"/>
                <w:tab w:val="left" w:pos="949"/>
              </w:tabs>
              <w:ind w:left="3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tcPr>
          <w:p w14:paraId="3526D8B9" w14:textId="11FEE0BC"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large scale hydrogen hub development</w:t>
            </w:r>
          </w:p>
        </w:tc>
        <w:tc>
          <w:tcPr>
            <w:tcW w:w="1388" w:type="dxa"/>
          </w:tcPr>
          <w:p w14:paraId="2E550FEB" w14:textId="7A004BD5" w:rsidR="00BF0D8C"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86A2BC7" wp14:editId="1C1E65CF">
                  <wp:extent cx="461882" cy="477078"/>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105074A1" w14:textId="55347B0F"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5961C584" wp14:editId="16E33558">
                  <wp:extent cx="461882" cy="477078"/>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25822306" w14:textId="77777777" w:rsidR="00BF0D8C" w:rsidRDefault="00BF0D8C" w:rsidP="00BF0D8C">
            <w:pPr>
              <w:pStyle w:val="ListParagraph"/>
              <w:numPr>
                <w:ilvl w:val="0"/>
                <w:numId w:val="34"/>
              </w:numPr>
              <w:spacing w:line="276" w:lineRule="auto"/>
              <w:ind w:left="347" w:right="184"/>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noProof/>
                <w:sz w:val="18"/>
                <w:szCs w:val="18"/>
                <w:lang w:val="en-US"/>
              </w:rPr>
              <w:t>Energy Estate started feasibility studies</w:t>
            </w:r>
            <w:r>
              <w:rPr>
                <w:noProof/>
                <w:sz w:val="18"/>
                <w:szCs w:val="18"/>
                <w:lang w:val="en-US"/>
              </w:rPr>
              <w:t xml:space="preserve"> in Q1, 2019.</w:t>
            </w:r>
            <w:r w:rsidRPr="00921944">
              <w:rPr>
                <w:noProof/>
                <w:sz w:val="18"/>
                <w:szCs w:val="18"/>
                <w:lang w:val="en-US"/>
              </w:rPr>
              <w:t xml:space="preserve"> </w:t>
            </w:r>
          </w:p>
          <w:p w14:paraId="0C865D8C" w14:textId="77777777" w:rsidR="00BF0D8C" w:rsidRDefault="00BF0D8C" w:rsidP="00BF0D8C">
            <w:pPr>
              <w:pStyle w:val="ListParagraph"/>
              <w:ind w:left="347" w:right="184"/>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p>
          <w:p w14:paraId="7996F830" w14:textId="6FF619A1" w:rsidR="00BF0D8C" w:rsidRPr="00921944" w:rsidRDefault="00BF0D8C" w:rsidP="00BF0D8C">
            <w:pPr>
              <w:pStyle w:val="ListParagraph"/>
              <w:tabs>
                <w:tab w:val="clear" w:pos="357"/>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noProof/>
                <w:sz w:val="18"/>
                <w:szCs w:val="18"/>
                <w:lang w:val="en-US"/>
              </w:rPr>
              <w:t>The final investment decision is targeted by Q</w:t>
            </w:r>
            <w:r>
              <w:rPr>
                <w:noProof/>
                <w:sz w:val="18"/>
                <w:szCs w:val="18"/>
                <w:lang w:val="en-US"/>
              </w:rPr>
              <w:t>2</w:t>
            </w:r>
            <w:r w:rsidRPr="00921944">
              <w:rPr>
                <w:noProof/>
                <w:sz w:val="18"/>
                <w:szCs w:val="18"/>
                <w:lang w:val="en-US"/>
              </w:rPr>
              <w:t>,202</w:t>
            </w:r>
            <w:r>
              <w:rPr>
                <w:noProof/>
                <w:sz w:val="18"/>
                <w:szCs w:val="18"/>
                <w:lang w:val="en-US"/>
              </w:rPr>
              <w:t>3 with operation by 2025</w:t>
            </w:r>
            <w:r w:rsidRPr="00921944">
              <w:rPr>
                <w:noProof/>
                <w:sz w:val="18"/>
                <w:szCs w:val="18"/>
                <w:lang w:val="en-US"/>
              </w:rPr>
              <w:t xml:space="preserve">. The company is </w:t>
            </w:r>
            <w:r>
              <w:rPr>
                <w:noProof/>
                <w:sz w:val="18"/>
                <w:szCs w:val="18"/>
                <w:lang w:val="en-US"/>
              </w:rPr>
              <w:t>currently</w:t>
            </w:r>
            <w:r w:rsidRPr="00921944">
              <w:rPr>
                <w:noProof/>
                <w:sz w:val="18"/>
                <w:szCs w:val="18"/>
                <w:lang w:val="en-US"/>
              </w:rPr>
              <w:t xml:space="preserve"> working </w:t>
            </w:r>
            <w:r>
              <w:rPr>
                <w:noProof/>
                <w:sz w:val="18"/>
                <w:szCs w:val="18"/>
                <w:lang w:val="en-US"/>
              </w:rPr>
              <w:t xml:space="preserve">to find project partners, securing relevant approvals and </w:t>
            </w:r>
            <w:r w:rsidRPr="00921944">
              <w:rPr>
                <w:noProof/>
                <w:sz w:val="18"/>
                <w:szCs w:val="18"/>
                <w:lang w:val="en-US"/>
              </w:rPr>
              <w:t>securing access to Powerlink, Queensland’s electricity transmission network.</w:t>
            </w:r>
            <w:r>
              <w:rPr>
                <w:noProof/>
                <w:sz w:val="18"/>
                <w:szCs w:val="18"/>
                <w:lang w:val="en-US"/>
              </w:rPr>
              <w:fldChar w:fldCharType="begin" w:fldLock="1"/>
            </w:r>
            <w:r w:rsidR="00D21B34">
              <w:rPr>
                <w:noProof/>
                <w:sz w:val="18"/>
                <w:szCs w:val="18"/>
                <w:lang w:val="en-US"/>
              </w:rPr>
              <w:instrText>ADDIN CSL_CITATION {"citationItems":[{"id":"ITEM-1","itemData":{"URL":"https://www.abbotpointcleanenergy.com.au/the-project","accessed":{"date-parts":[["2021","7","23"]]},"author":[{"dropping-particle":"","family":"Abbot Point Clean Energy Hub","given":"","non-dropping-particle":"","parse-names":false,"suffix":""}],"container-title":"2021","id":"ITEM-1","issued":{"date-parts":[["0"]]},"title":"The Project — Abbot Point Clean Energy Hub","type":"webpage"},"uris":["http://www.mendeley.com/documents/?uuid=210b1a3f-e59e-3b0c-bfd2-32b006906af5"]},{"id":"ITEM-2","itemData":{"URL":"https://www.abbotpointcleanenergy.com.au/news","accessed":{"date-parts":[["2021","7","26"]]},"author":[{"dropping-particle":"","family":"Burgess","given":"Kate","non-dropping-particle":"","parse-names":false,"suffix":""}],"container-title":"Inframation News","id":"ITEM-2","issued":{"date-parts":[["2021"]]},"title":"Developer seeks partners for Abbot Point Hydrogen Export Hub","type":"webpage"},"uris":["http://www.mendeley.com/documents/?uuid=436021dc-7c10-39b7-ba08-52903af39b22"]}],"mendeley":{"formattedCitation":"&lt;sup&gt;9,10&lt;/sup&gt;","plainTextFormattedCitation":"9,10","previouslyFormattedCitation":"&lt;sup&gt;9,10&lt;/sup&gt;"},"properties":{"noteIndex":0},"schema":"https://github.com/citation-style-language/schema/raw/master/csl-citation.json"}</w:instrText>
            </w:r>
            <w:r>
              <w:rPr>
                <w:noProof/>
                <w:sz w:val="18"/>
                <w:szCs w:val="18"/>
                <w:lang w:val="en-US"/>
              </w:rPr>
              <w:fldChar w:fldCharType="separate"/>
            </w:r>
            <w:r w:rsidR="00C3381F" w:rsidRPr="00C3381F">
              <w:rPr>
                <w:noProof/>
                <w:sz w:val="18"/>
                <w:szCs w:val="18"/>
                <w:vertAlign w:val="superscript"/>
                <w:lang w:val="en-US"/>
              </w:rPr>
              <w:t>9,10</w:t>
            </w:r>
            <w:r>
              <w:rPr>
                <w:noProof/>
                <w:sz w:val="18"/>
                <w:szCs w:val="18"/>
                <w:lang w:val="en-US"/>
              </w:rPr>
              <w:fldChar w:fldCharType="end"/>
            </w:r>
          </w:p>
        </w:tc>
      </w:tr>
      <w:tr w:rsidR="00BF0D8C" w:rsidRPr="00921944" w14:paraId="3F8A6A8A"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2B0C6466" w14:textId="3FEF5A6A" w:rsidR="00BF0D8C" w:rsidRPr="00722910" w:rsidRDefault="00BF0D8C" w:rsidP="00BF0D8C">
            <w:pPr>
              <w:pStyle w:val="ListParagraph"/>
              <w:ind w:left="0"/>
              <w:rPr>
                <w:sz w:val="18"/>
                <w:szCs w:val="18"/>
                <w:lang w:val="en-US"/>
              </w:rPr>
            </w:pPr>
            <w:r>
              <w:rPr>
                <w:sz w:val="18"/>
                <w:szCs w:val="18"/>
                <w:lang w:val="en-US"/>
              </w:rPr>
              <w:t>5</w:t>
            </w:r>
            <w:r w:rsidRPr="00722910">
              <w:rPr>
                <w:sz w:val="18"/>
                <w:szCs w:val="18"/>
                <w:lang w:val="en-US"/>
              </w:rPr>
              <w:t>.</w:t>
            </w:r>
          </w:p>
        </w:tc>
        <w:tc>
          <w:tcPr>
            <w:tcW w:w="3396" w:type="dxa"/>
            <w:shd w:val="clear" w:color="auto" w:fill="FFFFFF" w:themeFill="background1"/>
          </w:tcPr>
          <w:p w14:paraId="1574698F" w14:textId="77777777" w:rsidR="00BF0D8C" w:rsidRPr="00921944" w:rsidRDefault="00BF0D8C" w:rsidP="00BF0D8C">
            <w:pPr>
              <w:pStyle w:val="ListParagraph"/>
              <w:ind w:left="0" w:right="42"/>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Dyno Nobel Renewable Ammonia Feasibility</w:t>
            </w:r>
          </w:p>
          <w:p w14:paraId="77F9A1C8" w14:textId="6E3CA5DC" w:rsidR="00BF0D8C" w:rsidRDefault="00BF0D8C" w:rsidP="00BF0D8C">
            <w:pPr>
              <w:pStyle w:val="ListParagraph"/>
              <w:spacing w:before="240" w:after="120"/>
              <w:ind w:left="0" w:right="3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Dyno Nobel, a subsidiary of </w:t>
            </w:r>
            <w:proofErr w:type="spellStart"/>
            <w:r w:rsidRPr="00921944">
              <w:rPr>
                <w:sz w:val="18"/>
                <w:szCs w:val="18"/>
                <w:lang w:val="en-US"/>
              </w:rPr>
              <w:t>Incitec</w:t>
            </w:r>
            <w:proofErr w:type="spellEnd"/>
            <w:r w:rsidRPr="00921944">
              <w:rPr>
                <w:sz w:val="18"/>
                <w:szCs w:val="18"/>
                <w:lang w:val="en-US"/>
              </w:rPr>
              <w:t xml:space="preserve"> Pivot Ltd., conducted a A$2.7 million feasibility study to develop a green </w:t>
            </w:r>
            <w:r w:rsidRPr="00921944">
              <w:rPr>
                <w:sz w:val="18"/>
                <w:szCs w:val="18"/>
                <w:lang w:val="en-US"/>
              </w:rPr>
              <w:lastRenderedPageBreak/>
              <w:t>ammonia facility at its existing ammonia generation site.</w:t>
            </w:r>
            <w:r>
              <w:rPr>
                <w:sz w:val="18"/>
                <w:szCs w:val="18"/>
                <w:lang w:val="en-US"/>
              </w:rPr>
              <w:fldChar w:fldCharType="begin" w:fldLock="1"/>
            </w:r>
            <w:r w:rsidR="00D21B34">
              <w:rPr>
                <w:sz w:val="18"/>
                <w:szCs w:val="18"/>
                <w:lang w:val="en-US"/>
              </w:rPr>
              <w:instrText>ADDIN CSL_CITATION {"citationItems":[{"id":"ITEM-1","itemData":{"URL":"https://www.incitecpivot.com.au/about-us/about-incitec-pivot-limited/media/2019-09-30-dyno-nobel-conducts-feasibility-study-for-renewable-hydrogen-option-for-moranbah-facility","accessed":{"date-parts":[["2021","7","23"]]},"author":[{"dropping-particle":"","family":"Incitec Pivot Limited","given":"","non-dropping-particle":"","parse-names":false,"suffix":""}],"container-title":"Media Releases","id":"ITEM-1","issued":{"date-parts":[["2019","9","3"]]},"title":"Dyno Nobel conducts feasibility studies to assess renewable hydrogen at Moranbah facility","type":"webpage"},"uris":["http://www.mendeley.com/documents/?uuid=fc2460e1-ef1d-30d7-a121-adb6fa77e792"]}],"mendeley":{"formattedCitation":"&lt;sup&gt;11&lt;/sup&gt;","plainTextFormattedCitation":"11","previouslyFormattedCitation":"&lt;sup&gt;11&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11</w:t>
            </w:r>
            <w:r>
              <w:rPr>
                <w:sz w:val="18"/>
                <w:szCs w:val="18"/>
                <w:lang w:val="en-US"/>
              </w:rPr>
              <w:fldChar w:fldCharType="end"/>
            </w:r>
          </w:p>
          <w:p w14:paraId="0A3C112D" w14:textId="0505C147" w:rsidR="00BF0D8C" w:rsidRDefault="00BF0D8C" w:rsidP="00BF0D8C">
            <w:pPr>
              <w:pStyle w:val="ListParagraph"/>
              <w:spacing w:before="240" w:after="120"/>
              <w:ind w:left="0" w:right="3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proposed design includes developing a 160 MW PEM </w:t>
            </w:r>
            <w:r>
              <w:rPr>
                <w:sz w:val="18"/>
                <w:szCs w:val="18"/>
                <w:lang w:val="en-US"/>
              </w:rPr>
              <w:t>electrolyser</w:t>
            </w:r>
            <w:r w:rsidRPr="00921944">
              <w:rPr>
                <w:sz w:val="18"/>
                <w:szCs w:val="18"/>
                <w:lang w:val="en-US"/>
              </w:rPr>
              <w:t xml:space="preserve"> and a 2</w:t>
            </w:r>
            <w:r>
              <w:rPr>
                <w:sz w:val="18"/>
                <w:szCs w:val="18"/>
                <w:lang w:val="en-US"/>
              </w:rPr>
              <w:t>4</w:t>
            </w:r>
            <w:r w:rsidRPr="00921944">
              <w:rPr>
                <w:sz w:val="18"/>
                <w:szCs w:val="18"/>
                <w:lang w:val="en-US"/>
              </w:rPr>
              <w:t>0 MW solar farm. The proposed facility at the time was expected to be the world’s largest green ammonia facility</w:t>
            </w:r>
            <w:r>
              <w:rPr>
                <w:sz w:val="18"/>
                <w:szCs w:val="18"/>
                <w:lang w:val="en-US"/>
              </w:rPr>
              <w:t xml:space="preserve">, producing 45 </w:t>
            </w:r>
            <w:proofErr w:type="spellStart"/>
            <w:r>
              <w:rPr>
                <w:sz w:val="18"/>
                <w:szCs w:val="18"/>
                <w:lang w:val="en-US"/>
              </w:rPr>
              <w:t>ktpa</w:t>
            </w:r>
            <w:proofErr w:type="spellEnd"/>
            <w:r>
              <w:rPr>
                <w:sz w:val="18"/>
                <w:szCs w:val="18"/>
                <w:lang w:val="en-US"/>
              </w:rPr>
              <w:t xml:space="preserve"> of ammonia.  </w:t>
            </w:r>
          </w:p>
          <w:p w14:paraId="2E0257E2" w14:textId="52DE5AF8" w:rsidR="00BF0D8C" w:rsidRPr="00921944" w:rsidRDefault="00BF0D8C" w:rsidP="00BF0D8C">
            <w:pPr>
              <w:pStyle w:val="ListParagraph"/>
              <w:spacing w:before="240" w:after="120"/>
              <w:ind w:left="0" w:right="3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ARENA provided $980k funding to assist the company in carrying out the feasibility study as part of the Renewable Hydrogen Development Fund.</w:t>
            </w:r>
            <w:r>
              <w:rPr>
                <w:sz w:val="18"/>
                <w:szCs w:val="18"/>
                <w:lang w:val="en-US"/>
              </w:rPr>
              <w:fldChar w:fldCharType="begin" w:fldLock="1"/>
            </w:r>
            <w:r w:rsidR="00D21B34">
              <w:rPr>
                <w:sz w:val="18"/>
                <w:szCs w:val="18"/>
                <w:lang w:val="en-US"/>
              </w:rPr>
              <w:instrText>ADDIN CSL_CITATION {"citationItems":[{"id":"ITEM-1","itemData":{"URL":"https://arena.gov.au/knowledge-bank/dyno-nobel-renewable-hydrogen-feasibility-study/","accessed":{"date-parts":[["2021","7","23"]]},"author":[{"dropping-particle":"","family":"ARENA","given":"","non-dropping-particle":"","parse-names":false,"suffix":""}],"container-title":"Knowledge Bank","id":"ITEM-1","issued":{"date-parts":[["0"]]},"title":"Dyno Nobel Renewable Hydrogen Feasibility Study ","type":"webpage"},"uris":["http://www.mendeley.com/documents/?uuid=aa1a1b5c-e0a0-36a1-8958-ae9c96346c53"]}],"mendeley":{"formattedCitation":"&lt;sup&gt;12&lt;/sup&gt;","plainTextFormattedCitation":"12","previouslyFormattedCitation":"&lt;sup&gt;12&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12</w:t>
            </w:r>
            <w:r>
              <w:rPr>
                <w:sz w:val="18"/>
                <w:szCs w:val="18"/>
                <w:lang w:val="en-US"/>
              </w:rPr>
              <w:fldChar w:fldCharType="end"/>
            </w:r>
            <w:r>
              <w:rPr>
                <w:sz w:val="18"/>
                <w:szCs w:val="18"/>
                <w:lang w:val="en-US"/>
              </w:rPr>
              <w:t xml:space="preserve"> The study estimated that ~A$675 million would be required to construct the plant.</w:t>
            </w:r>
            <w:r>
              <w:rPr>
                <w:sz w:val="18"/>
                <w:szCs w:val="18"/>
                <w:lang w:val="en-US"/>
              </w:rPr>
              <w:fldChar w:fldCharType="begin" w:fldLock="1"/>
            </w:r>
            <w:r w:rsidR="00D21B34">
              <w:rPr>
                <w:sz w:val="18"/>
                <w:szCs w:val="18"/>
                <w:lang w:val="en-US"/>
              </w:rPr>
              <w:instrText>ADDIN CSL_CITATION {"citationItems":[{"id":"ITEM-1","itemData":{"author":[{"dropping-particle":"","family":"ANT Energy Solutions","given":"","non-dropping-particle":"","parse-names":false,"suffix":""},{"dropping-particle":"","family":"Dyno Nobel Moranbah","given":"","non-dropping-particle":"","parse-names":false,"suffix":""}],"id":"ITEM-1","issue":"July","issued":{"date-parts":[["2020"]]},"title":"DNM Renewable Hydrogen Feasibility Study","type":"report"},"uris":["http://www.mendeley.com/documents/?uuid=d78ef1f1-d153-41a8-b4c5-d8b05acbb8b4"]}],"mendeley":{"formattedCitation":"&lt;sup&gt;13&lt;/sup&gt;","plainTextFormattedCitation":"13","previouslyFormattedCitation":"&lt;sup&gt;13&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13</w:t>
            </w:r>
            <w:r>
              <w:rPr>
                <w:sz w:val="18"/>
                <w:szCs w:val="18"/>
                <w:lang w:val="en-US"/>
              </w:rPr>
              <w:fldChar w:fldCharType="end"/>
            </w:r>
          </w:p>
        </w:tc>
        <w:tc>
          <w:tcPr>
            <w:tcW w:w="1377" w:type="dxa"/>
            <w:shd w:val="clear" w:color="auto" w:fill="FFFFFF" w:themeFill="background1"/>
          </w:tcPr>
          <w:p w14:paraId="2AF25723"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lastRenderedPageBreak/>
              <w:t xml:space="preserve">Moranbah, </w:t>
            </w:r>
          </w:p>
          <w:p w14:paraId="2E05B1FB"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Qld</w:t>
            </w:r>
          </w:p>
        </w:tc>
        <w:tc>
          <w:tcPr>
            <w:tcW w:w="2059" w:type="dxa"/>
            <w:shd w:val="clear" w:color="auto" w:fill="FFFFFF" w:themeFill="background1"/>
          </w:tcPr>
          <w:p w14:paraId="2E1863BF" w14:textId="41D25D2F" w:rsidR="00BF0D8C" w:rsidRDefault="00BF0D8C" w:rsidP="00BF0D8C">
            <w:pPr>
              <w:pStyle w:val="ListParagraph"/>
              <w:tabs>
                <w:tab w:val="clear" w:pos="357"/>
              </w:tabs>
              <w:ind w:left="39" w:right="31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9.6 </w:t>
            </w:r>
            <w:proofErr w:type="spellStart"/>
            <w:r w:rsidRPr="00921944">
              <w:rPr>
                <w:sz w:val="18"/>
                <w:szCs w:val="18"/>
                <w:lang w:val="en-US"/>
              </w:rPr>
              <w:t>ktpa</w:t>
            </w:r>
            <w:proofErr w:type="spellEnd"/>
            <w:r w:rsidRPr="00921944">
              <w:rPr>
                <w:sz w:val="18"/>
                <w:szCs w:val="18"/>
                <w:lang w:val="en-US"/>
              </w:rPr>
              <w:t xml:space="preserve"> of H</w:t>
            </w:r>
            <w:r w:rsidRPr="00921944">
              <w:rPr>
                <w:sz w:val="18"/>
                <w:szCs w:val="18"/>
                <w:vertAlign w:val="subscript"/>
                <w:lang w:val="en-US"/>
              </w:rPr>
              <w:t>2</w:t>
            </w:r>
            <w:r w:rsidRPr="00921944">
              <w:rPr>
                <w:sz w:val="18"/>
                <w:szCs w:val="18"/>
                <w:lang w:val="en-US"/>
              </w:rPr>
              <w:t xml:space="preserve"> (160 MW plant</w:t>
            </w:r>
            <w:r>
              <w:rPr>
                <w:sz w:val="18"/>
                <w:szCs w:val="18"/>
                <w:lang w:val="en-US"/>
              </w:rPr>
              <w:t xml:space="preserve"> + 54 t of intermediate storage</w:t>
            </w:r>
            <w:r w:rsidRPr="00921944">
              <w:rPr>
                <w:sz w:val="18"/>
                <w:szCs w:val="18"/>
                <w:lang w:val="en-US"/>
              </w:rPr>
              <w:t>)</w:t>
            </w:r>
          </w:p>
          <w:p w14:paraId="310E4A99" w14:textId="77777777" w:rsidR="00BF0D8C" w:rsidRDefault="00BF0D8C" w:rsidP="00BF0D8C">
            <w:pPr>
              <w:pStyle w:val="ListParagraph"/>
              <w:tabs>
                <w:tab w:val="clear" w:pos="357"/>
              </w:tabs>
              <w:ind w:left="39" w:right="31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p w14:paraId="2B89C2FA" w14:textId="17A38908" w:rsidR="00BF0D8C" w:rsidRPr="00921944" w:rsidRDefault="00BF0D8C" w:rsidP="00BF0D8C">
            <w:pPr>
              <w:pStyle w:val="ListParagraph"/>
              <w:tabs>
                <w:tab w:val="clear" w:pos="357"/>
              </w:tabs>
              <w:ind w:left="39" w:right="313"/>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45ktpa of NH</w:t>
            </w:r>
            <w:r w:rsidRPr="006E64CD">
              <w:rPr>
                <w:sz w:val="18"/>
                <w:szCs w:val="18"/>
                <w:vertAlign w:val="subscript"/>
                <w:lang w:val="en-US"/>
              </w:rPr>
              <w:t>3</w:t>
            </w:r>
          </w:p>
        </w:tc>
        <w:tc>
          <w:tcPr>
            <w:tcW w:w="2064" w:type="dxa"/>
            <w:shd w:val="clear" w:color="auto" w:fill="FFFFFF" w:themeFill="background1"/>
          </w:tcPr>
          <w:p w14:paraId="5F09ADA9"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Feasibility Study</w:t>
            </w:r>
          </w:p>
          <w:p w14:paraId="1158191E"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(Commercial Plant)</w:t>
            </w:r>
          </w:p>
        </w:tc>
        <w:tc>
          <w:tcPr>
            <w:tcW w:w="1388" w:type="dxa"/>
            <w:shd w:val="clear" w:color="auto" w:fill="FFFFFF" w:themeFill="background1"/>
          </w:tcPr>
          <w:p w14:paraId="7BC85CE0" w14:textId="32A023E2" w:rsidR="00BF0D8C" w:rsidRPr="00921944" w:rsidRDefault="00BF0D8C" w:rsidP="00BF0D8C">
            <w:pPr>
              <w:pStyle w:val="ListParagraph"/>
              <w:spacing w:after="12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6131853A" wp14:editId="1DF07422">
                  <wp:extent cx="461882" cy="477078"/>
                  <wp:effectExtent l="0" t="0" r="0" b="0"/>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509FFA6E" w14:textId="77777777"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FFFFFF" w:themeFill="background1"/>
          </w:tcPr>
          <w:p w14:paraId="24572DF2" w14:textId="0EABA963" w:rsidR="00BF0D8C" w:rsidRPr="00921944" w:rsidRDefault="00BF0D8C" w:rsidP="00BF0D8C">
            <w:pPr>
              <w:pStyle w:val="ListParagraph"/>
              <w:tabs>
                <w:tab w:val="clear" w:pos="357"/>
              </w:tabs>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feasibility study was completed in 2020 (</w:t>
            </w:r>
            <w:r>
              <w:rPr>
                <w:sz w:val="18"/>
                <w:szCs w:val="18"/>
                <w:lang w:val="en-US"/>
              </w:rPr>
              <w:t>final</w:t>
            </w:r>
            <w:r w:rsidRPr="00921944">
              <w:rPr>
                <w:sz w:val="18"/>
                <w:szCs w:val="18"/>
                <w:lang w:val="en-US"/>
              </w:rPr>
              <w:t xml:space="preserve"> decision is still to be made)</w:t>
            </w:r>
          </w:p>
        </w:tc>
      </w:tr>
      <w:tr w:rsidR="00BF0D8C" w:rsidRPr="00921944" w14:paraId="21E3AAF0"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3C2610DE" w14:textId="47F470F1" w:rsidR="00BF0D8C" w:rsidRPr="00921944" w:rsidRDefault="00BF0D8C" w:rsidP="00BF0D8C">
            <w:pPr>
              <w:pStyle w:val="ListParagraph"/>
              <w:ind w:left="0"/>
              <w:contextualSpacing w:val="0"/>
              <w:rPr>
                <w:bCs/>
                <w:sz w:val="18"/>
                <w:szCs w:val="18"/>
                <w:lang w:val="en-US"/>
              </w:rPr>
            </w:pPr>
            <w:r>
              <w:rPr>
                <w:bCs/>
                <w:sz w:val="18"/>
                <w:szCs w:val="18"/>
                <w:lang w:val="en-US"/>
              </w:rPr>
              <w:t>6</w:t>
            </w:r>
            <w:r w:rsidRPr="00921944">
              <w:rPr>
                <w:bCs/>
                <w:sz w:val="18"/>
                <w:szCs w:val="18"/>
                <w:lang w:val="en-US"/>
              </w:rPr>
              <w:t>.</w:t>
            </w:r>
          </w:p>
        </w:tc>
        <w:tc>
          <w:tcPr>
            <w:tcW w:w="3396" w:type="dxa"/>
          </w:tcPr>
          <w:p w14:paraId="1B61DB3C" w14:textId="77777777" w:rsidR="00BF0D8C" w:rsidRPr="00921944" w:rsidRDefault="00BF0D8C" w:rsidP="00BF0D8C">
            <w:pPr>
              <w:pStyle w:val="ListParagraph"/>
              <w:ind w:left="0" w:right="42"/>
              <w:contextualSpacing w:val="0"/>
              <w:jc w:val="both"/>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Stanwell Renewable Hydrogen Production</w:t>
            </w:r>
          </w:p>
          <w:p w14:paraId="5F6F4D8F" w14:textId="7AE67C70" w:rsidR="00BF0D8C" w:rsidRDefault="00BF0D8C" w:rsidP="00BF0D8C">
            <w:pPr>
              <w:pStyle w:val="ListParagraph"/>
              <w:spacing w:before="240" w:after="120"/>
              <w:ind w:left="0" w:right="42"/>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A feasibility study has been conducted to develop a 10 MW (or larger) </w:t>
            </w:r>
            <w:r>
              <w:rPr>
                <w:sz w:val="18"/>
                <w:szCs w:val="18"/>
                <w:lang w:val="en-US"/>
              </w:rPr>
              <w:t>electrolyser</w:t>
            </w:r>
            <w:r w:rsidRPr="00921944">
              <w:rPr>
                <w:sz w:val="18"/>
                <w:szCs w:val="18"/>
                <w:lang w:val="en-US"/>
              </w:rPr>
              <w:t xml:space="preserve"> to demonstrate hydrogen production using electricity from the Stanwell Power plant.</w:t>
            </w:r>
            <w:r w:rsidRPr="00921944">
              <w:rPr>
                <w:sz w:val="18"/>
                <w:szCs w:val="18"/>
                <w:lang w:val="en-US"/>
              </w:rPr>
              <w:fldChar w:fldCharType="begin" w:fldLock="1"/>
            </w:r>
            <w:r w:rsidR="00D21B34">
              <w:rPr>
                <w:sz w:val="18"/>
                <w:szCs w:val="18"/>
                <w:lang w:val="en-US"/>
              </w:rPr>
              <w:instrText>ADDIN CSL_CITATION {"citationItems":[{"id":"ITEM-1","itemData":{"URL":"https://www.stanwell.com/energy-assets/new-energy-initiatives/stanwell-hydrogen-project/","accessed":{"date-parts":[["2021","4","20"]]},"author":[{"dropping-particle":"","family":"Stanwell","given":"","non-dropping-particle":"","parse-names":false,"suffix":""}],"id":"ITEM-1","issued":{"date-parts":[["0"]]},"title":"Hydrogen","type":"webpage"},"uris":["http://www.mendeley.com/documents/?uuid=8af85ad5-9608-34b5-8fe1-1597c56e6b01"]}],"mendeley":{"formattedCitation":"&lt;sup&gt;14&lt;/sup&gt;","plainTextFormattedCitation":"14","previouslyFormattedCitation":"&lt;sup&gt;14&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14</w:t>
            </w:r>
            <w:r w:rsidRPr="00921944">
              <w:rPr>
                <w:sz w:val="18"/>
                <w:szCs w:val="18"/>
                <w:lang w:val="en-US"/>
              </w:rPr>
              <w:fldChar w:fldCharType="end"/>
            </w:r>
            <w:r w:rsidRPr="00921944">
              <w:rPr>
                <w:sz w:val="18"/>
                <w:szCs w:val="18"/>
                <w:lang w:val="en-US"/>
              </w:rPr>
              <w:t xml:space="preserve"> </w:t>
            </w:r>
          </w:p>
          <w:p w14:paraId="1CC3DBC5" w14:textId="77777777" w:rsidR="00BF0D8C" w:rsidRDefault="00BF0D8C" w:rsidP="00BF0D8C">
            <w:pPr>
              <w:pStyle w:val="ListParagraph"/>
              <w:spacing w:before="240" w:after="120"/>
              <w:ind w:left="0" w:right="42"/>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project will generate hydrogen and offset the emissions from the coal power plant </w:t>
            </w:r>
            <w:r>
              <w:rPr>
                <w:sz w:val="18"/>
                <w:szCs w:val="18"/>
                <w:lang w:val="en-US"/>
              </w:rPr>
              <w:t>sourced</w:t>
            </w:r>
            <w:r w:rsidRPr="00921944">
              <w:rPr>
                <w:sz w:val="18"/>
                <w:szCs w:val="18"/>
                <w:lang w:val="en-US"/>
              </w:rPr>
              <w:t xml:space="preserve"> electricity using energy and green certificates from renewable energy projects. The study also evaluated the use of the generated hydrogen for transport, ammonia, or electricity generation. </w:t>
            </w:r>
          </w:p>
          <w:p w14:paraId="14244452" w14:textId="245E897A" w:rsidR="00BF0D8C" w:rsidRPr="00921944" w:rsidRDefault="00BF0D8C" w:rsidP="00BF0D8C">
            <w:pPr>
              <w:pStyle w:val="ListParagraph"/>
              <w:spacing w:before="240" w:after="120"/>
              <w:ind w:left="0" w:right="42"/>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ARENA provided grant funding of A$1.25 million to conduct the feasibility study as part of the Renewable Hydrogen Development Fund.</w:t>
            </w:r>
            <w:r w:rsidRPr="00921944">
              <w:rPr>
                <w:sz w:val="18"/>
                <w:szCs w:val="18"/>
                <w:lang w:val="en-US"/>
              </w:rPr>
              <w:fldChar w:fldCharType="begin" w:fldLock="1"/>
            </w:r>
            <w:r w:rsidR="00D21B34">
              <w:rPr>
                <w:sz w:val="18"/>
                <w:szCs w:val="18"/>
                <w:lang w:val="en-US"/>
              </w:rPr>
              <w:instrText>ADDIN CSL_CITATION {"citationItems":[{"id":"ITEM-1","itemData":{"URL":"https://arena.gov.au/projects/stanwell-hydrogen-electrolysis-deployment-feasibility-study/","accessed":{"date-parts":[["2021","4","20"]]},"author":[{"dropping-particle":"","family":"ARENA","given":"","non-dropping-particle":"","parse-names":false,"suffix":""}],"container-title":"Projects","id":"ITEM-1","issued":{"date-parts":[["2020"]]},"title":"Stanwell Hydrogen Electrolysis Deployment Feasibility Study","type":"webpage"},"uris":["http://www.mendeley.com/documents/?uuid=ee9f04d3-da57-3d32-9afc-12abb70b9584"]}],"mendeley":{"formattedCitation":"&lt;sup&gt;15&lt;/sup&gt;","plainTextFormattedCitation":"15","previouslyFormattedCitation":"&lt;sup&gt;15&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15</w:t>
            </w:r>
            <w:r w:rsidRPr="00921944">
              <w:rPr>
                <w:sz w:val="18"/>
                <w:szCs w:val="18"/>
                <w:lang w:val="en-US"/>
              </w:rPr>
              <w:fldChar w:fldCharType="end"/>
            </w:r>
          </w:p>
        </w:tc>
        <w:tc>
          <w:tcPr>
            <w:tcW w:w="1377" w:type="dxa"/>
          </w:tcPr>
          <w:p w14:paraId="4E5DC81E"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Rockhampton,</w:t>
            </w:r>
          </w:p>
          <w:p w14:paraId="7ED307ED"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Qld</w:t>
            </w:r>
          </w:p>
        </w:tc>
        <w:tc>
          <w:tcPr>
            <w:tcW w:w="2059" w:type="dxa"/>
          </w:tcPr>
          <w:p w14:paraId="00E417EC" w14:textId="18655439" w:rsidR="00BF0D8C" w:rsidRPr="00921944" w:rsidRDefault="00BF0D8C" w:rsidP="00BF0D8C">
            <w:pPr>
              <w:pStyle w:val="ListParagraph"/>
              <w:tabs>
                <w:tab w:val="clear" w:pos="357"/>
              </w:tabs>
              <w:ind w:left="3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1.6 </w:t>
            </w:r>
            <w:proofErr w:type="spellStart"/>
            <w:r w:rsidRPr="00921944">
              <w:rPr>
                <w:sz w:val="18"/>
                <w:szCs w:val="18"/>
                <w:lang w:val="en-US"/>
              </w:rPr>
              <w:t>ktpa</w:t>
            </w:r>
            <w:proofErr w:type="spellEnd"/>
            <w:r>
              <w:rPr>
                <w:sz w:val="18"/>
                <w:szCs w:val="18"/>
                <w:lang w:val="en-US"/>
              </w:rPr>
              <w:t xml:space="preserve"> of H</w:t>
            </w:r>
            <w:r w:rsidRPr="008A630B">
              <w:rPr>
                <w:sz w:val="18"/>
                <w:szCs w:val="18"/>
                <w:vertAlign w:val="subscript"/>
                <w:lang w:val="en-US"/>
              </w:rPr>
              <w:t>2</w:t>
            </w:r>
          </w:p>
          <w:p w14:paraId="49765FEC" w14:textId="58212B91" w:rsidR="00BF0D8C" w:rsidRPr="00921944" w:rsidRDefault="00BF0D8C" w:rsidP="00BF0D8C">
            <w:pPr>
              <w:pStyle w:val="ListParagraph"/>
              <w:tabs>
                <w:tab w:val="clear" w:pos="357"/>
              </w:tabs>
              <w:ind w:left="3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(10 MW </w:t>
            </w:r>
            <w:r>
              <w:rPr>
                <w:sz w:val="18"/>
                <w:szCs w:val="18"/>
                <w:lang w:val="en-US"/>
              </w:rPr>
              <w:t>electrolyser</w:t>
            </w:r>
            <w:r w:rsidRPr="00921944">
              <w:rPr>
                <w:sz w:val="18"/>
                <w:szCs w:val="18"/>
                <w:lang w:val="en-US"/>
              </w:rPr>
              <w:t>)</w:t>
            </w:r>
          </w:p>
        </w:tc>
        <w:tc>
          <w:tcPr>
            <w:tcW w:w="2064" w:type="dxa"/>
          </w:tcPr>
          <w:p w14:paraId="5D4ABA80" w14:textId="77777777"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Study</w:t>
            </w:r>
          </w:p>
          <w:p w14:paraId="16E196AC" w14:textId="77777777"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tc>
        <w:tc>
          <w:tcPr>
            <w:tcW w:w="1388" w:type="dxa"/>
          </w:tcPr>
          <w:p w14:paraId="675DF39D" w14:textId="0BE6E8A2"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414EB73A" wp14:editId="47587320">
                  <wp:extent cx="461882" cy="477078"/>
                  <wp:effectExtent l="0" t="0" r="0" b="0"/>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1A57B18B" w14:textId="77777777"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2801" w:type="dxa"/>
          </w:tcPr>
          <w:p w14:paraId="3142DD5D" w14:textId="3F7AA916"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~A$5 million feasibility study was completed in 2020.</w:t>
            </w:r>
            <w:r w:rsidRPr="00921944">
              <w:rPr>
                <w:sz w:val="18"/>
                <w:szCs w:val="18"/>
                <w:lang w:val="en-US"/>
              </w:rPr>
              <w:fldChar w:fldCharType="begin" w:fldLock="1"/>
            </w:r>
            <w:r w:rsidR="00D21B34">
              <w:rPr>
                <w:sz w:val="18"/>
                <w:szCs w:val="18"/>
                <w:lang w:val="en-US"/>
              </w:rPr>
              <w:instrText>ADDIN CSL_CITATION {"citationItems":[{"id":"ITEM-1","itemData":{"URL":"https://arena.gov.au/projects/stanwell-hydrogen-electrolysis-deployment-feasibility-study/","accessed":{"date-parts":[["2021","4","20"]]},"author":[{"dropping-particle":"","family":"ARENA","given":"","non-dropping-particle":"","parse-names":false,"suffix":""}],"container-title":"Projects","id":"ITEM-1","issued":{"date-parts":[["2020"]]},"title":"Stanwell Hydrogen Electrolysis Deployment Feasibility Study","type":"webpage"},"uris":["http://www.mendeley.com/documents/?uuid=ee9f04d3-da57-3d32-9afc-12abb70b9584"]}],"mendeley":{"formattedCitation":"&lt;sup&gt;15&lt;/sup&gt;","plainTextFormattedCitation":"15","previouslyFormattedCitation":"&lt;sup&gt;15&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15</w:t>
            </w:r>
            <w:r w:rsidRPr="00921944">
              <w:rPr>
                <w:sz w:val="18"/>
                <w:szCs w:val="18"/>
                <w:lang w:val="en-US"/>
              </w:rPr>
              <w:fldChar w:fldCharType="end"/>
            </w:r>
          </w:p>
          <w:p w14:paraId="6D3317A4"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8"/>
                <w:szCs w:val="8"/>
              </w:rPr>
            </w:pPr>
          </w:p>
          <w:p w14:paraId="5C1EED21" w14:textId="26DF1DFA"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It was suggested that domestic use for hydrogen was not viable, and export should be preferred.</w:t>
            </w:r>
          </w:p>
          <w:p w14:paraId="297C0340"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8"/>
                <w:szCs w:val="8"/>
                <w:lang w:val="en-US"/>
              </w:rPr>
            </w:pPr>
          </w:p>
          <w:p w14:paraId="1595762F" w14:textId="5EBFAE98"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Stanwell Corp. has since partnered with Iwatani Corp. to explore hydrogen export options to Japan.</w:t>
            </w:r>
            <w:r w:rsidRPr="00921944">
              <w:rPr>
                <w:sz w:val="18"/>
                <w:szCs w:val="18"/>
                <w:lang w:val="en-US"/>
              </w:rPr>
              <w:fldChar w:fldCharType="begin" w:fldLock="1"/>
            </w:r>
            <w:r w:rsidR="00D21B34">
              <w:rPr>
                <w:sz w:val="18"/>
                <w:szCs w:val="18"/>
                <w:lang w:val="en-US"/>
              </w:rPr>
              <w:instrText>ADDIN CSL_CITATION {"citationItems":[{"id":"ITEM-1","itemData":{"URL":"https://www.stanwell.com/our-news/media/central-queensland-a-future-hydrogen-export-powerhouse/","accessed":{"date-parts":[["2021","4","20"]]},"author":[{"dropping-particle":"","family":"Stanwell","given":"","non-dropping-particle":"","parse-names":false,"suffix":""}],"id":"ITEM-1","issued":{"date-parts":[["2020","9","27"]]},"title":"Central Queensland: a future hydrogen export powerhouse","type":"webpage"},"uris":["http://www.mendeley.com/documents/?uuid=23465a41-ddfd-3ba2-8f40-6cac342bf22a"]}],"mendeley":{"formattedCitation":"&lt;sup&gt;16&lt;/sup&gt;","plainTextFormattedCitation":"16","previouslyFormattedCitation":"&lt;sup&gt;16&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16</w:t>
            </w:r>
            <w:r w:rsidRPr="00921944">
              <w:rPr>
                <w:sz w:val="18"/>
                <w:szCs w:val="18"/>
                <w:lang w:val="en-US"/>
              </w:rPr>
              <w:fldChar w:fldCharType="end"/>
            </w:r>
          </w:p>
        </w:tc>
      </w:tr>
      <w:tr w:rsidR="00190DAF" w:rsidRPr="00921944" w14:paraId="557E0953"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32FCA12C" w14:textId="1781FB92" w:rsidR="00190DAF" w:rsidRDefault="00190DAF" w:rsidP="00190DAF">
            <w:pPr>
              <w:pStyle w:val="ListParagraph"/>
              <w:keepNext/>
              <w:widowControl w:val="0"/>
              <w:ind w:left="0"/>
              <w:contextualSpacing w:val="0"/>
              <w:rPr>
                <w:bCs/>
                <w:sz w:val="18"/>
                <w:szCs w:val="18"/>
                <w:lang w:val="en-US"/>
              </w:rPr>
            </w:pPr>
            <w:r>
              <w:rPr>
                <w:bCs/>
                <w:sz w:val="18"/>
                <w:szCs w:val="18"/>
                <w:lang w:val="en-US"/>
              </w:rPr>
              <w:lastRenderedPageBreak/>
              <w:t>7.</w:t>
            </w:r>
          </w:p>
        </w:tc>
        <w:tc>
          <w:tcPr>
            <w:tcW w:w="3396" w:type="dxa"/>
            <w:shd w:val="clear" w:color="auto" w:fill="FFFFFF" w:themeFill="background1"/>
          </w:tcPr>
          <w:p w14:paraId="5D1A1043" w14:textId="77777777" w:rsidR="00190DAF" w:rsidRPr="00921944" w:rsidRDefault="00190DAF" w:rsidP="00190DAF">
            <w:pPr>
              <w:pStyle w:val="ListParagraph"/>
              <w:ind w:left="0" w:right="119"/>
              <w:contextualSpacing w:val="0"/>
              <w:jc w:val="both"/>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Bundaberg Hydrogen Hub</w:t>
            </w:r>
          </w:p>
          <w:p w14:paraId="60A30B37" w14:textId="7F6C2786" w:rsidR="00190DAF" w:rsidRDefault="00190DAF" w:rsidP="00190DAF">
            <w:pPr>
              <w:pStyle w:val="ListParagraph"/>
              <w:spacing w:before="240" w:after="120"/>
              <w:ind w:left="0" w:right="119"/>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w:t>
            </w:r>
            <w:r>
              <w:rPr>
                <w:sz w:val="18"/>
                <w:szCs w:val="18"/>
                <w:lang w:val="en-US"/>
              </w:rPr>
              <w:t>A</w:t>
            </w:r>
            <w:r w:rsidRPr="00921944">
              <w:rPr>
                <w:sz w:val="18"/>
                <w:szCs w:val="18"/>
                <w:lang w:val="en-US"/>
              </w:rPr>
              <w:t>$300 million Bundaberg Hydrogen Hub is being developed to generate hydrogen for industrial and transportation use</w:t>
            </w:r>
            <w:r>
              <w:rPr>
                <w:sz w:val="18"/>
                <w:szCs w:val="18"/>
                <w:lang w:val="en-US"/>
              </w:rPr>
              <w:t xml:space="preserve"> by the </w:t>
            </w:r>
            <w:r w:rsidRPr="002665AE">
              <w:rPr>
                <w:sz w:val="18"/>
                <w:szCs w:val="18"/>
                <w:lang w:val="en-US"/>
              </w:rPr>
              <w:t xml:space="preserve">Green Hydrogen Australia Group (GHAG), a consortium comprised of </w:t>
            </w:r>
            <w:proofErr w:type="spellStart"/>
            <w:r w:rsidRPr="002665AE">
              <w:rPr>
                <w:sz w:val="18"/>
                <w:szCs w:val="18"/>
                <w:lang w:val="en-US"/>
              </w:rPr>
              <w:t>Denzo</w:t>
            </w:r>
            <w:proofErr w:type="spellEnd"/>
            <w:r w:rsidRPr="002665AE">
              <w:rPr>
                <w:sz w:val="18"/>
                <w:szCs w:val="18"/>
                <w:lang w:val="en-US"/>
              </w:rPr>
              <w:t xml:space="preserve"> Pty Ltd, Elvin Renewables Grou</w:t>
            </w:r>
            <w:r>
              <w:rPr>
                <w:sz w:val="18"/>
                <w:szCs w:val="18"/>
                <w:lang w:val="en-US"/>
              </w:rPr>
              <w:t xml:space="preserve">p and </w:t>
            </w:r>
            <w:r w:rsidRPr="002665AE">
              <w:rPr>
                <w:sz w:val="18"/>
                <w:szCs w:val="18"/>
                <w:lang w:val="en-US"/>
              </w:rPr>
              <w:t>H2X Australia</w:t>
            </w:r>
            <w:r w:rsidRPr="00921944">
              <w:rPr>
                <w:sz w:val="18"/>
                <w:szCs w:val="18"/>
                <w:lang w:val="en-US"/>
              </w:rPr>
              <w:t>.</w:t>
            </w:r>
          </w:p>
          <w:p w14:paraId="20BFD5E0" w14:textId="6242C881" w:rsidR="00190DAF" w:rsidRDefault="00190DAF" w:rsidP="00190DAF">
            <w:pPr>
              <w:pStyle w:val="ListParagraph"/>
              <w:keepNext/>
              <w:widowControl w:val="0"/>
              <w:spacing w:after="120"/>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Pr>
                <w:sz w:val="18"/>
                <w:szCs w:val="18"/>
                <w:lang w:val="en-US"/>
              </w:rPr>
              <w:t>The proposed projects includes</w:t>
            </w:r>
            <w:r w:rsidRPr="00921944">
              <w:rPr>
                <w:sz w:val="18"/>
                <w:szCs w:val="18"/>
                <w:lang w:val="en-US"/>
              </w:rPr>
              <w:t xml:space="preserve"> </w:t>
            </w:r>
            <w:r>
              <w:rPr>
                <w:sz w:val="18"/>
                <w:szCs w:val="18"/>
                <w:lang w:val="en-US"/>
              </w:rPr>
              <w:t xml:space="preserve">a </w:t>
            </w:r>
            <w:r w:rsidRPr="00921944">
              <w:rPr>
                <w:sz w:val="18"/>
                <w:szCs w:val="18"/>
                <w:lang w:val="en-US"/>
              </w:rPr>
              <w:t xml:space="preserve">80 MW </w:t>
            </w:r>
            <w:r>
              <w:rPr>
                <w:sz w:val="18"/>
                <w:szCs w:val="18"/>
                <w:lang w:val="en-US"/>
              </w:rPr>
              <w:t>electrolyser</w:t>
            </w:r>
            <w:r w:rsidRPr="00921944">
              <w:rPr>
                <w:sz w:val="18"/>
                <w:szCs w:val="18"/>
                <w:lang w:val="en-US"/>
              </w:rPr>
              <w:t xml:space="preserve"> plant </w:t>
            </w:r>
            <w:r>
              <w:rPr>
                <w:sz w:val="18"/>
                <w:szCs w:val="18"/>
                <w:lang w:val="en-US"/>
              </w:rPr>
              <w:t xml:space="preserve">with a 100 – 110 MW solar farm </w:t>
            </w:r>
            <w:r w:rsidRPr="00921944">
              <w:rPr>
                <w:sz w:val="18"/>
                <w:szCs w:val="18"/>
                <w:lang w:val="en-US"/>
              </w:rPr>
              <w:t>that will supply hydrogen to the Australian hydrogen vehicle developer H2X.</w:t>
            </w:r>
            <w:r w:rsidRPr="00921944">
              <w:rPr>
                <w:sz w:val="18"/>
                <w:szCs w:val="18"/>
                <w:lang w:val="en-US"/>
              </w:rPr>
              <w:fldChar w:fldCharType="begin" w:fldLock="1"/>
            </w:r>
            <w:r w:rsidR="00D21B34">
              <w:rPr>
                <w:sz w:val="18"/>
                <w:szCs w:val="18"/>
                <w:lang w:val="en-US"/>
              </w:rPr>
              <w:instrText>ADDIN CSL_CITATION {"citationItems":[{"id":"ITEM-1","itemData":{"URL":"https://www.pv-magazine-australia.com/2020/09/10/green-light-for-the-300-million-green-bundaberg-hydrogen-hub/","accessed":{"date-parts":[["2021","4","21"]]},"author":[{"dropping-particle":"","family":"Matich","given":"Blake","non-dropping-particle":"","parse-names":false,"suffix":""}],"container-title":" pv magazine Australia","id":"ITEM-1","issued":{"date-parts":[["2020","9","10"]]},"title":"Green light for the $300 million green Bundaberg Hydrogen Hub","type":"webpage"},"uris":["http://www.mendeley.com/documents/?uuid=e5a147d5-aff5-35af-9541-ebc12f9c57e6"]}],"mendeley":{"formattedCitation":"&lt;sup&gt;17&lt;/sup&gt;","plainTextFormattedCitation":"17","previouslyFormattedCitation":"&lt;sup&gt;17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17</w:t>
            </w:r>
            <w:r w:rsidRPr="00921944">
              <w:rPr>
                <w:sz w:val="18"/>
                <w:szCs w:val="18"/>
                <w:lang w:val="en-US"/>
              </w:rPr>
              <w:fldChar w:fldCharType="end"/>
            </w:r>
          </w:p>
        </w:tc>
        <w:tc>
          <w:tcPr>
            <w:tcW w:w="1377" w:type="dxa"/>
            <w:shd w:val="clear" w:color="auto" w:fill="FFFFFF" w:themeFill="background1"/>
          </w:tcPr>
          <w:p w14:paraId="6088B871" w14:textId="77777777" w:rsidR="00190DAF" w:rsidRPr="00921944" w:rsidRDefault="00190DAF" w:rsidP="00190DAF">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Bu</w:t>
            </w:r>
            <w:r>
              <w:rPr>
                <w:sz w:val="18"/>
                <w:szCs w:val="18"/>
                <w:lang w:val="en-US"/>
              </w:rPr>
              <w:t>n</w:t>
            </w:r>
            <w:r w:rsidRPr="00921944">
              <w:rPr>
                <w:sz w:val="18"/>
                <w:szCs w:val="18"/>
                <w:lang w:val="en-US"/>
              </w:rPr>
              <w:t>daberg,</w:t>
            </w:r>
          </w:p>
          <w:p w14:paraId="7A7CB163" w14:textId="7818A755" w:rsidR="00190DAF" w:rsidRPr="00921944" w:rsidRDefault="00190DAF" w:rsidP="00190DAF">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sz w:val="18"/>
                <w:szCs w:val="18"/>
                <w:lang w:val="en-US"/>
              </w:rPr>
              <w:t>Qld.</w:t>
            </w:r>
          </w:p>
        </w:tc>
        <w:tc>
          <w:tcPr>
            <w:tcW w:w="2059" w:type="dxa"/>
            <w:shd w:val="clear" w:color="auto" w:fill="FFFFFF" w:themeFill="background1"/>
          </w:tcPr>
          <w:p w14:paraId="1CAE19F4" w14:textId="64D85160" w:rsidR="00190DAF" w:rsidRPr="00921944" w:rsidRDefault="00190DAF" w:rsidP="00190DAF">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80 MW electrolyzer</w:t>
            </w:r>
          </w:p>
        </w:tc>
        <w:tc>
          <w:tcPr>
            <w:tcW w:w="2064" w:type="dxa"/>
            <w:shd w:val="clear" w:color="auto" w:fill="FFFFFF" w:themeFill="background1"/>
          </w:tcPr>
          <w:p w14:paraId="5E266A33" w14:textId="59B6C67C" w:rsidR="00190DAF" w:rsidRPr="00921944" w:rsidRDefault="00190DAF" w:rsidP="00190DAF">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Commercial plant</w:t>
            </w:r>
          </w:p>
        </w:tc>
        <w:tc>
          <w:tcPr>
            <w:tcW w:w="1388" w:type="dxa"/>
            <w:shd w:val="clear" w:color="auto" w:fill="FFFFFF" w:themeFill="background1"/>
          </w:tcPr>
          <w:p w14:paraId="02C50817" w14:textId="53E9717E" w:rsidR="00190DAF" w:rsidRDefault="00190DAF" w:rsidP="00190DAF">
            <w:pPr>
              <w:pStyle w:val="ListParagraph"/>
              <w:keepNext/>
              <w:widowControl w:val="0"/>
              <w:ind w:left="0"/>
              <w:contextualSpacing w:val="0"/>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3DB3BE93" wp14:editId="33A2D20A">
                  <wp:extent cx="461882" cy="477078"/>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5BD3FA80" w14:textId="08608BCC" w:rsidR="00190DAF" w:rsidRPr="00921944" w:rsidRDefault="00190DAF" w:rsidP="00190DAF">
            <w:pPr>
              <w:pStyle w:val="ListParagraph"/>
              <w:keepNext/>
              <w:widowControl w:val="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7ADFD37E" wp14:editId="77C1866D">
                  <wp:extent cx="461882" cy="477078"/>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shd w:val="clear" w:color="auto" w:fill="FFFFFF" w:themeFill="background1"/>
          </w:tcPr>
          <w:p w14:paraId="6E3DD76B" w14:textId="564EF4F7" w:rsidR="00190DAF" w:rsidRPr="00921944" w:rsidRDefault="00190DAF" w:rsidP="00190DAF">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noProof/>
                <w:sz w:val="18"/>
                <w:szCs w:val="18"/>
                <w:lang w:val="en-US"/>
              </w:rPr>
              <w:t>Early stages of development</w:t>
            </w:r>
            <w:r>
              <w:rPr>
                <w:noProof/>
                <w:sz w:val="18"/>
                <w:szCs w:val="18"/>
                <w:lang w:val="en-US"/>
              </w:rPr>
              <w:t>.</w:t>
            </w:r>
          </w:p>
        </w:tc>
      </w:tr>
      <w:tr w:rsidR="00BF0D8C" w:rsidRPr="00921944" w14:paraId="4F2DC8F8"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36218611" w14:textId="3A31AB85" w:rsidR="00BF0D8C" w:rsidRPr="00921944" w:rsidRDefault="007A1DBD" w:rsidP="00BF0D8C">
            <w:pPr>
              <w:pStyle w:val="ListParagraph"/>
              <w:keepNext/>
              <w:widowControl w:val="0"/>
              <w:ind w:left="0"/>
              <w:contextualSpacing w:val="0"/>
              <w:rPr>
                <w:bCs/>
                <w:sz w:val="18"/>
                <w:szCs w:val="18"/>
                <w:lang w:val="en-US"/>
              </w:rPr>
            </w:pPr>
            <w:r>
              <w:rPr>
                <w:bCs/>
                <w:sz w:val="18"/>
                <w:szCs w:val="18"/>
                <w:lang w:val="en-US"/>
              </w:rPr>
              <w:t>8</w:t>
            </w:r>
            <w:r w:rsidR="00BF0D8C" w:rsidRPr="00921944">
              <w:rPr>
                <w:bCs/>
                <w:sz w:val="18"/>
                <w:szCs w:val="18"/>
                <w:lang w:val="en-US"/>
              </w:rPr>
              <w:t>.</w:t>
            </w:r>
          </w:p>
        </w:tc>
        <w:tc>
          <w:tcPr>
            <w:tcW w:w="3396" w:type="dxa"/>
          </w:tcPr>
          <w:p w14:paraId="3F20FB97" w14:textId="05B32013"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Pr>
                <w:b/>
                <w:bCs/>
                <w:sz w:val="18"/>
                <w:szCs w:val="18"/>
                <w:lang w:val="en-US"/>
              </w:rPr>
              <w:t xml:space="preserve">Queensland Nitrates (QNP) </w:t>
            </w:r>
            <w:r w:rsidRPr="00921944">
              <w:rPr>
                <w:b/>
                <w:bCs/>
                <w:sz w:val="18"/>
                <w:szCs w:val="18"/>
                <w:lang w:val="en-US"/>
              </w:rPr>
              <w:t>Renewable Ammonia Feasibility Study</w:t>
            </w:r>
          </w:p>
          <w:p w14:paraId="47CFAA1D" w14:textId="141B3B47" w:rsidR="00BF0D8C" w:rsidRDefault="00BF0D8C" w:rsidP="00BF0D8C">
            <w:pPr>
              <w:pStyle w:val="ListParagraph"/>
              <w:keepNext/>
              <w:widowControl w:val="0"/>
              <w:spacing w:before="240"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Queensland Nitrates Pty Ltd. conducted a feasibility study of retrofitting its existing ammoni</w:t>
            </w:r>
            <w:r>
              <w:rPr>
                <w:sz w:val="18"/>
                <w:szCs w:val="18"/>
                <w:lang w:val="en-US"/>
              </w:rPr>
              <w:t>um nitrate</w:t>
            </w:r>
            <w:r w:rsidRPr="00921944">
              <w:rPr>
                <w:sz w:val="18"/>
                <w:szCs w:val="18"/>
                <w:lang w:val="en-US"/>
              </w:rPr>
              <w:t xml:space="preserve"> plant in Moura, Qld</w:t>
            </w:r>
            <w:r>
              <w:rPr>
                <w:sz w:val="18"/>
                <w:szCs w:val="18"/>
                <w:lang w:val="en-US"/>
              </w:rPr>
              <w:t>.</w:t>
            </w:r>
            <w:r w:rsidRPr="00921944">
              <w:rPr>
                <w:sz w:val="18"/>
                <w:szCs w:val="18"/>
                <w:lang w:val="en-US"/>
              </w:rPr>
              <w:t xml:space="preserve"> </w:t>
            </w:r>
            <w:r>
              <w:rPr>
                <w:sz w:val="18"/>
                <w:szCs w:val="18"/>
                <w:lang w:val="en-US"/>
              </w:rPr>
              <w:t xml:space="preserve">The facility has a fully integrated ammonia, nitric acid, and ammonium nitrate plant. </w:t>
            </w:r>
          </w:p>
          <w:p w14:paraId="29A1F0E1" w14:textId="2EFC9EDB" w:rsidR="00BF0D8C" w:rsidRDefault="00BF0D8C" w:rsidP="00BF0D8C">
            <w:pPr>
              <w:pStyle w:val="ListParagraph"/>
              <w:keepNext/>
              <w:widowControl w:val="0"/>
              <w:spacing w:before="240"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feasibility study investigated a </w:t>
            </w:r>
            <w:r w:rsidRPr="00921944">
              <w:rPr>
                <w:sz w:val="18"/>
                <w:szCs w:val="18"/>
                <w:lang w:val="en-US"/>
              </w:rPr>
              <w:t>30 MW facility</w:t>
            </w:r>
            <w:r>
              <w:rPr>
                <w:sz w:val="18"/>
                <w:szCs w:val="18"/>
                <w:lang w:val="en-US"/>
              </w:rPr>
              <w:t xml:space="preserve"> that will be used to generate 3.5 </w:t>
            </w:r>
            <w:proofErr w:type="spellStart"/>
            <w:r>
              <w:rPr>
                <w:sz w:val="18"/>
                <w:szCs w:val="18"/>
                <w:lang w:val="en-US"/>
              </w:rPr>
              <w:t>ktpa</w:t>
            </w:r>
            <w:proofErr w:type="spellEnd"/>
            <w:r>
              <w:rPr>
                <w:sz w:val="18"/>
                <w:szCs w:val="18"/>
                <w:lang w:val="en-US"/>
              </w:rPr>
              <w:t xml:space="preserve"> of hydrogen. The hydrogen will be then converted in a new 20 </w:t>
            </w:r>
            <w:proofErr w:type="spellStart"/>
            <w:r>
              <w:rPr>
                <w:sz w:val="18"/>
                <w:szCs w:val="18"/>
                <w:lang w:val="en-US"/>
              </w:rPr>
              <w:t>ktpa</w:t>
            </w:r>
            <w:proofErr w:type="spellEnd"/>
            <w:r>
              <w:rPr>
                <w:sz w:val="18"/>
                <w:szCs w:val="18"/>
                <w:lang w:val="en-US"/>
              </w:rPr>
              <w:t xml:space="preserve"> ammonia plant (the company currently buys this amount of ammonia from 3</w:t>
            </w:r>
            <w:r w:rsidRPr="002E7BD7">
              <w:rPr>
                <w:sz w:val="18"/>
                <w:szCs w:val="18"/>
                <w:vertAlign w:val="superscript"/>
                <w:lang w:val="en-US"/>
              </w:rPr>
              <w:t>rd</w:t>
            </w:r>
            <w:r>
              <w:rPr>
                <w:sz w:val="18"/>
                <w:szCs w:val="18"/>
                <w:lang w:val="en-US"/>
              </w:rPr>
              <w:t xml:space="preserve"> party to supplement operation). The new facility is expected to be powered through a hybrid solar and wind PPA.</w:t>
            </w:r>
          </w:p>
          <w:p w14:paraId="6F609948" w14:textId="5066C02A" w:rsidR="00BF0D8C" w:rsidRPr="00921944" w:rsidRDefault="00BF0D8C" w:rsidP="00BF0D8C">
            <w:pPr>
              <w:pStyle w:val="ListParagraph"/>
              <w:keepNext/>
              <w:widowControl w:val="0"/>
              <w:spacing w:before="240"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w:t>
            </w:r>
            <w:r>
              <w:rPr>
                <w:sz w:val="18"/>
                <w:szCs w:val="18"/>
                <w:lang w:val="en-US"/>
              </w:rPr>
              <w:t xml:space="preserve"> study </w:t>
            </w:r>
            <w:r w:rsidRPr="00921944">
              <w:rPr>
                <w:sz w:val="18"/>
                <w:szCs w:val="18"/>
                <w:lang w:val="en-US"/>
              </w:rPr>
              <w:t>received funding</w:t>
            </w:r>
            <w:r>
              <w:rPr>
                <w:sz w:val="18"/>
                <w:szCs w:val="18"/>
                <w:lang w:val="en-US"/>
              </w:rPr>
              <w:t xml:space="preserve"> of A$1.91 million</w:t>
            </w:r>
            <w:r w:rsidRPr="00921944" w:rsidDel="00120166">
              <w:rPr>
                <w:sz w:val="18"/>
                <w:szCs w:val="18"/>
                <w:lang w:val="en-US"/>
              </w:rPr>
              <w:t xml:space="preserve"> </w:t>
            </w:r>
            <w:r w:rsidRPr="00921944">
              <w:rPr>
                <w:sz w:val="18"/>
                <w:szCs w:val="18"/>
                <w:lang w:val="en-US"/>
              </w:rPr>
              <w:t>from ARENA as part of the Advancing Renewables Program</w:t>
            </w:r>
            <w:r>
              <w:rPr>
                <w:sz w:val="18"/>
                <w:szCs w:val="18"/>
                <w:lang w:val="en-US"/>
              </w:rPr>
              <w:t xml:space="preserve"> to support the total cost of A$3.8 million</w:t>
            </w:r>
            <w:r w:rsidRPr="00921944">
              <w:rPr>
                <w:sz w:val="18"/>
                <w:szCs w:val="18"/>
                <w:lang w:val="en-US"/>
              </w:rPr>
              <w:t>.</w:t>
            </w:r>
            <w:r w:rsidRPr="00921944">
              <w:rPr>
                <w:sz w:val="18"/>
                <w:szCs w:val="18"/>
                <w:lang w:val="en-US"/>
              </w:rPr>
              <w:fldChar w:fldCharType="begin" w:fldLock="1"/>
            </w:r>
            <w:r w:rsidR="00D21B34">
              <w:rPr>
                <w:sz w:val="18"/>
                <w:szCs w:val="18"/>
                <w:lang w:val="en-US"/>
              </w:rPr>
              <w:instrText>ADDIN CSL_CITATION {"citationItems":[{"id":"ITEM-1","itemData":{"URL":"https://arena.gov.au/knowledge-bank/qnp-green-ammonia-project-feasibility-study/","accessed":{"date-parts":[["2021","4","20"]]},"author":[{"dropping-particle":"","family":"ARENA","given":"","non-dropping-particle":"","parse-names":false,"suffix":""}],"container-title":"2020","id":"ITEM-1","issued":{"date-parts":[["0"]]},"title":"QNP Green Ammonia Project Feasibility Study ","type":"webpage"},"uris":["http://www.mendeley.com/documents/?uuid=06f28088-ff14-3d04-8567-4bd2c7fc9f47"]}],"mendeley":{"formattedCitation":"&lt;sup&gt;18&lt;/sup&gt;","plainTextFormattedCitation":"18","previouslyFormattedCitation":"&lt;sup&gt;18&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18</w:t>
            </w:r>
            <w:r w:rsidRPr="00921944">
              <w:rPr>
                <w:sz w:val="18"/>
                <w:szCs w:val="18"/>
                <w:lang w:val="en-US"/>
              </w:rPr>
              <w:fldChar w:fldCharType="end"/>
            </w:r>
            <w:r>
              <w:rPr>
                <w:sz w:val="18"/>
                <w:szCs w:val="18"/>
                <w:lang w:val="en-US"/>
              </w:rPr>
              <w:t xml:space="preserve"> The study was completed in 2020 and estimated a total project cost of A$150 – 200 million.</w:t>
            </w:r>
            <w:r>
              <w:rPr>
                <w:sz w:val="18"/>
                <w:szCs w:val="18"/>
                <w:lang w:val="en-US"/>
              </w:rPr>
              <w:fldChar w:fldCharType="begin" w:fldLock="1"/>
            </w:r>
            <w:r w:rsidR="00D21B34">
              <w:rPr>
                <w:sz w:val="18"/>
                <w:szCs w:val="18"/>
                <w:lang w:val="en-US"/>
              </w:rPr>
              <w:instrText>ADDIN CSL_CITATION {"citationItems":[{"id":"ITEM-1","itemData":{"URL":"https://research.csiro.au/hyresource/queensland-nitrates-renewable-hydrogen-and-ammonia-project/","accessed":{"date-parts":[["2021","7","23"]]},"author":[{"dropping-particle":"","family":"CSIRO","given":"","non-dropping-particle":"","parse-names":false,"suffix":""}],"container-title":"HyResource","id":"ITEM-1","issued":{"date-parts":[["2020","9","23"]]},"title":"Queensland Nitrates Renewable Hydrogen and Ammonia Project","type":"webpage"},"uris":["http://www.mendeley.com/documents/?uuid=af493673-9214-3a39-9223-56aa1ef6e428"]}],"mendeley":{"formattedCitation":"&lt;sup&gt;19&lt;/sup&gt;","plainTextFormattedCitation":"19","previouslyFormattedCitation":"&lt;sup&gt;19&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19</w:t>
            </w:r>
            <w:r>
              <w:rPr>
                <w:sz w:val="18"/>
                <w:szCs w:val="18"/>
                <w:lang w:val="en-US"/>
              </w:rPr>
              <w:fldChar w:fldCharType="end"/>
            </w:r>
            <w:r w:rsidRPr="00921944">
              <w:rPr>
                <w:sz w:val="18"/>
                <w:szCs w:val="18"/>
                <w:lang w:val="en-US"/>
              </w:rPr>
              <w:t xml:space="preserve"> </w:t>
            </w:r>
          </w:p>
        </w:tc>
        <w:tc>
          <w:tcPr>
            <w:tcW w:w="1377" w:type="dxa"/>
          </w:tcPr>
          <w:p w14:paraId="67E55FA8" w14:textId="77777777"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 xml:space="preserve">Moura, </w:t>
            </w:r>
          </w:p>
          <w:p w14:paraId="65939DA6" w14:textId="77777777"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Qld</w:t>
            </w:r>
          </w:p>
        </w:tc>
        <w:tc>
          <w:tcPr>
            <w:tcW w:w="2059" w:type="dxa"/>
          </w:tcPr>
          <w:p w14:paraId="3EBCF247" w14:textId="0EF9C96F" w:rsidR="00BF0D8C"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vertAlign w:val="subscript"/>
                <w:lang w:val="en-US"/>
              </w:rPr>
            </w:pPr>
            <w:r w:rsidRPr="00921944">
              <w:rPr>
                <w:sz w:val="18"/>
                <w:szCs w:val="18"/>
                <w:lang w:val="en-US"/>
              </w:rPr>
              <w:t xml:space="preserve">3.5 </w:t>
            </w:r>
            <w:proofErr w:type="spellStart"/>
            <w:r w:rsidRPr="00921944">
              <w:rPr>
                <w:sz w:val="18"/>
                <w:szCs w:val="18"/>
                <w:lang w:val="en-US"/>
              </w:rPr>
              <w:t>ktpa</w:t>
            </w:r>
            <w:proofErr w:type="spellEnd"/>
            <w:r w:rsidRPr="00921944">
              <w:rPr>
                <w:sz w:val="18"/>
                <w:szCs w:val="18"/>
                <w:lang w:val="en-US"/>
              </w:rPr>
              <w:t xml:space="preserve"> </w:t>
            </w:r>
            <w:r>
              <w:rPr>
                <w:sz w:val="18"/>
                <w:szCs w:val="18"/>
                <w:lang w:val="en-US"/>
              </w:rPr>
              <w:t>of H</w:t>
            </w:r>
            <w:r w:rsidRPr="008A630B">
              <w:rPr>
                <w:sz w:val="18"/>
                <w:szCs w:val="18"/>
                <w:vertAlign w:val="subscript"/>
                <w:lang w:val="en-US"/>
              </w:rPr>
              <w:t>2</w:t>
            </w:r>
          </w:p>
          <w:p w14:paraId="1FB16C8F" w14:textId="749E7D7E" w:rsidR="00BF0D8C"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vertAlign w:val="subscript"/>
                <w:lang w:val="en-US"/>
              </w:rPr>
            </w:pPr>
            <w:r w:rsidRPr="00921944">
              <w:rPr>
                <w:sz w:val="18"/>
                <w:szCs w:val="18"/>
                <w:lang w:val="en-US"/>
              </w:rPr>
              <w:t xml:space="preserve">(30 MW </w:t>
            </w:r>
            <w:r>
              <w:rPr>
                <w:sz w:val="18"/>
                <w:szCs w:val="18"/>
                <w:lang w:val="en-US"/>
              </w:rPr>
              <w:t>electrolyser</w:t>
            </w:r>
            <w:r w:rsidRPr="00921944">
              <w:rPr>
                <w:sz w:val="18"/>
                <w:szCs w:val="18"/>
                <w:lang w:val="en-US"/>
              </w:rPr>
              <w:t>)</w:t>
            </w:r>
          </w:p>
          <w:p w14:paraId="043169D0" w14:textId="77777777" w:rsidR="00BF0D8C"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3FA9B724" w14:textId="7F4138EA" w:rsidR="00BF0D8C" w:rsidRPr="00B160A5"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20 </w:t>
            </w:r>
            <w:proofErr w:type="spellStart"/>
            <w:r>
              <w:rPr>
                <w:sz w:val="18"/>
                <w:szCs w:val="18"/>
                <w:lang w:val="en-US"/>
              </w:rPr>
              <w:t>ktpa</w:t>
            </w:r>
            <w:proofErr w:type="spellEnd"/>
            <w:r>
              <w:rPr>
                <w:sz w:val="18"/>
                <w:szCs w:val="18"/>
                <w:lang w:val="en-US"/>
              </w:rPr>
              <w:t xml:space="preserve"> of NH</w:t>
            </w:r>
            <w:r w:rsidRPr="00B160A5">
              <w:rPr>
                <w:sz w:val="18"/>
                <w:szCs w:val="18"/>
                <w:vertAlign w:val="subscript"/>
                <w:lang w:val="en-US"/>
              </w:rPr>
              <w:t>3</w:t>
            </w:r>
          </w:p>
          <w:p w14:paraId="6B13DF8A" w14:textId="0BFD4982"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tcPr>
          <w:p w14:paraId="7473A319" w14:textId="77777777"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Study</w:t>
            </w:r>
          </w:p>
          <w:p w14:paraId="1344DA90" w14:textId="77777777"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388" w:type="dxa"/>
          </w:tcPr>
          <w:p w14:paraId="5381901E" w14:textId="7677FB8D" w:rsidR="00BF0D8C" w:rsidRPr="00921944" w:rsidRDefault="00BF0D8C" w:rsidP="00BF0D8C">
            <w:pPr>
              <w:pStyle w:val="ListParagraph"/>
              <w:keepNext/>
              <w:widowControl w:val="0"/>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0EEC49E7" wp14:editId="7F910366">
                  <wp:extent cx="461882" cy="477078"/>
                  <wp:effectExtent l="0" t="0" r="0" b="0"/>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2C82A584" w14:textId="77777777" w:rsidR="00BF0D8C" w:rsidRPr="00921944" w:rsidRDefault="00BF0D8C" w:rsidP="00BF0D8C">
            <w:pPr>
              <w:pStyle w:val="ListParagraph"/>
              <w:keepNext/>
              <w:widowControl w:val="0"/>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2801" w:type="dxa"/>
          </w:tcPr>
          <w:p w14:paraId="2B1491E5" w14:textId="305C8B81" w:rsidR="00BF0D8C" w:rsidRPr="00921944" w:rsidRDefault="00BF0D8C" w:rsidP="00BF0D8C">
            <w:pPr>
              <w:pStyle w:val="ListParagraph"/>
              <w:keepNext/>
              <w:widowControl w:val="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study was completed in mid-2020, recommending a 88ktpa or higher plant</w:t>
            </w:r>
            <w:r>
              <w:rPr>
                <w:sz w:val="18"/>
                <w:szCs w:val="18"/>
                <w:lang w:val="en-US"/>
              </w:rPr>
              <w:t xml:space="preserve"> capacity</w:t>
            </w:r>
            <w:r w:rsidRPr="00921944">
              <w:rPr>
                <w:sz w:val="18"/>
                <w:szCs w:val="18"/>
                <w:lang w:val="en-US"/>
              </w:rPr>
              <w:t xml:space="preserve"> should be targeted for viability without external subsidies.</w:t>
            </w:r>
            <w:r w:rsidRPr="00921944">
              <w:rPr>
                <w:sz w:val="18"/>
                <w:szCs w:val="18"/>
                <w:lang w:val="en-US"/>
              </w:rPr>
              <w:fldChar w:fldCharType="begin" w:fldLock="1"/>
            </w:r>
            <w:r w:rsidR="00D21B34">
              <w:rPr>
                <w:sz w:val="18"/>
                <w:szCs w:val="18"/>
                <w:lang w:val="en-US"/>
              </w:rPr>
              <w:instrText>ADDIN CSL_CITATION {"citationItems":[{"id":"ITEM-1","itemData":{"author":[{"dropping-particle":"","family":"QNP","given":"","non-dropping-particle":"","parse-names":false,"suffix":""},{"dropping-particle":"","family":"ARENA","given":"","non-dropping-particle":"","parse-names":false,"suffix":""},{"dropping-particle":"","family":"Neon and Worley","given":"","non-dropping-particle":"","parse-names":false,"suffix":""}],"id":"ITEM-1","issue":"June","issued":{"date-parts":[["2020"]]},"title":"QNP Green Ammonia Project Feasibility Study","type":"article-journal"},"uris":["http://www.mendeley.com/documents/?uuid=7988ae91-c4a3-4c72-9a53-0fbdf0fefc09"]}],"mendeley":{"formattedCitation":"&lt;sup&gt;20&lt;/sup&gt;","plainTextFormattedCitation":"20","previouslyFormattedCitation":"&lt;sup&gt;20&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20</w:t>
            </w:r>
            <w:r w:rsidRPr="00921944">
              <w:rPr>
                <w:sz w:val="18"/>
                <w:szCs w:val="18"/>
                <w:lang w:val="en-US"/>
              </w:rPr>
              <w:fldChar w:fldCharType="end"/>
            </w:r>
            <w:r w:rsidRPr="00921944">
              <w:rPr>
                <w:sz w:val="18"/>
                <w:szCs w:val="18"/>
                <w:lang w:val="en-US"/>
              </w:rPr>
              <w:t xml:space="preserve"> </w:t>
            </w:r>
          </w:p>
        </w:tc>
      </w:tr>
      <w:tr w:rsidR="007A1DBD" w:rsidRPr="00921944" w14:paraId="789B14F1"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2A83B693" w14:textId="45E0F015" w:rsidR="00BF0D8C" w:rsidRPr="00921944" w:rsidRDefault="007A1DBD" w:rsidP="00BF0D8C">
            <w:pPr>
              <w:pStyle w:val="ListParagraph"/>
              <w:ind w:left="0"/>
              <w:contextualSpacing w:val="0"/>
              <w:rPr>
                <w:bCs/>
                <w:sz w:val="18"/>
                <w:szCs w:val="18"/>
                <w:lang w:val="en-US"/>
              </w:rPr>
            </w:pPr>
            <w:r>
              <w:rPr>
                <w:bCs/>
                <w:sz w:val="18"/>
                <w:szCs w:val="18"/>
                <w:lang w:val="en-US"/>
              </w:rPr>
              <w:lastRenderedPageBreak/>
              <w:t>9</w:t>
            </w:r>
            <w:r w:rsidR="00BF0D8C" w:rsidRPr="00921944">
              <w:rPr>
                <w:bCs/>
                <w:sz w:val="18"/>
                <w:szCs w:val="18"/>
                <w:lang w:val="en-US"/>
              </w:rPr>
              <w:t xml:space="preserve">. </w:t>
            </w:r>
          </w:p>
        </w:tc>
        <w:tc>
          <w:tcPr>
            <w:tcW w:w="3396" w:type="dxa"/>
            <w:shd w:val="clear" w:color="auto" w:fill="FFFFFF" w:themeFill="background1"/>
          </w:tcPr>
          <w:p w14:paraId="19FFEF22" w14:textId="77777777" w:rsidR="00BF0D8C" w:rsidRPr="00921944" w:rsidRDefault="00BF0D8C" w:rsidP="00BF0D8C">
            <w:pPr>
              <w:pStyle w:val="ListParagraph"/>
              <w:ind w:left="0"/>
              <w:contextualSpacing w:val="0"/>
              <w:jc w:val="both"/>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Bio-hydrogen Demonstration Plant</w:t>
            </w:r>
          </w:p>
          <w:p w14:paraId="0D09091D" w14:textId="77777777" w:rsidR="00BF0D8C" w:rsidRDefault="00BF0D8C" w:rsidP="00BF0D8C">
            <w:pPr>
              <w:pStyle w:val="ListParagraph"/>
              <w:spacing w:before="240" w:after="12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Southern Oil Refining company is developing a hydrogen generation demonstration project at their existing Northern Oil Refinery at Gladstone. </w:t>
            </w:r>
          </w:p>
          <w:p w14:paraId="0A85BB01" w14:textId="0A223000" w:rsidR="00BF0D8C" w:rsidRPr="00921944" w:rsidRDefault="00BF0D8C" w:rsidP="00BF0D8C">
            <w:pPr>
              <w:pStyle w:val="ListParagraph"/>
              <w:spacing w:before="240" w:after="12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The oil refinery currently generates crude oil from biomass-based feedstocks, which is then processed to make kerosene and diesel. The company plans to utilize a catalyst based chemical looping process (trialed at small scale in partnership with CSIRO), that will enable on site hydrogen generation by steam reforming of the waste biogas stream. </w:t>
            </w:r>
            <w:r w:rsidRPr="00921944">
              <w:rPr>
                <w:sz w:val="18"/>
                <w:szCs w:val="18"/>
                <w:lang w:val="en-US"/>
              </w:rPr>
              <w:fldChar w:fldCharType="begin" w:fldLock="1"/>
            </w:r>
            <w:r w:rsidR="00D21B34">
              <w:rPr>
                <w:sz w:val="18"/>
                <w:szCs w:val="18"/>
                <w:lang w:val="en-US"/>
              </w:rPr>
              <w:instrText>ADDIN CSL_CITATION {"citationItems":[{"id":"ITEM-1","itemData":{"URL":"https://research.csiro.au/hyresource/bio-hydrogen-demonstration-plant/","accessed":{"date-parts":[["2021","4","19"]]},"author":[{"dropping-particle":"","family":"CSIRO","given":"","non-dropping-particle":"","parse-names":false,"suffix":""}],"container-title":"HyResource","id":"ITEM-1","issued":{"date-parts":[["2020","9","23"]]},"title":"Bio-Hydrogen Demonstration Plant ","type":"webpage"},"uris":["http://www.mendeley.com/documents/?uuid=29aae65f-d308-3e22-92ac-b65e568d3e4e"]},{"id":"ITEM-2","itemData":{"URL":"https://www.abc.net.au/news/2018-07-18/hydrogen-power-pilot-concept-gladstone-refinery/10003812","accessed":{"date-parts":[["2021","4","20"]]},"author":[{"dropping-particle":"","family":"Terzon","given":"Emilia","non-dropping-particle":"","parse-names":false,"suffix":""}],"container-title":"ABC news","id":"ITEM-2","issued":{"date-parts":[["2018","7","18"]]},"title":"Hydrogen power plant pilot, a first for Queensland, highlights resurgence of humble chemical elements","type":"webpage"},"uris":["http://www.mendeley.com/documents/?uuid=80de80ce-682f-3d8b-bd35-6324bf35b3ca"]}],"mendeley":{"formattedCitation":"&lt;sup&gt;21,22&lt;/sup&gt;","plainTextFormattedCitation":"21,22","previouslyFormattedCitation":"&lt;sup&gt;21,22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21,22</w:t>
            </w:r>
            <w:r w:rsidRPr="00921944">
              <w:rPr>
                <w:sz w:val="18"/>
                <w:szCs w:val="18"/>
                <w:lang w:val="en-US"/>
              </w:rPr>
              <w:fldChar w:fldCharType="end"/>
            </w:r>
          </w:p>
        </w:tc>
        <w:tc>
          <w:tcPr>
            <w:tcW w:w="1377" w:type="dxa"/>
            <w:shd w:val="clear" w:color="auto" w:fill="FFFFFF" w:themeFill="background1"/>
          </w:tcPr>
          <w:p w14:paraId="4763CC10"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 xml:space="preserve">Gladstone, </w:t>
            </w:r>
          </w:p>
          <w:p w14:paraId="5A984C37"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Qld</w:t>
            </w:r>
          </w:p>
        </w:tc>
        <w:tc>
          <w:tcPr>
            <w:tcW w:w="2059" w:type="dxa"/>
            <w:shd w:val="clear" w:color="auto" w:fill="FFFFFF" w:themeFill="background1"/>
          </w:tcPr>
          <w:p w14:paraId="1FB0C1FC" w14:textId="61AC5BF1"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0.017 </w:t>
            </w:r>
            <w:proofErr w:type="spellStart"/>
            <w:r w:rsidRPr="00921944">
              <w:rPr>
                <w:sz w:val="18"/>
                <w:szCs w:val="18"/>
                <w:lang w:val="en-US"/>
              </w:rPr>
              <w:t>ktpa</w:t>
            </w:r>
            <w:proofErr w:type="spellEnd"/>
            <w:r w:rsidRPr="00921944">
              <w:rPr>
                <w:sz w:val="18"/>
                <w:szCs w:val="18"/>
                <w:lang w:val="en-US"/>
              </w:rPr>
              <w:t xml:space="preserve"> </w:t>
            </w:r>
            <w:r>
              <w:rPr>
                <w:sz w:val="18"/>
                <w:szCs w:val="18"/>
                <w:lang w:val="en-US"/>
              </w:rPr>
              <w:t>of H</w:t>
            </w:r>
            <w:r w:rsidRPr="00B160A5">
              <w:rPr>
                <w:sz w:val="18"/>
                <w:szCs w:val="18"/>
                <w:vertAlign w:val="subscript"/>
                <w:lang w:val="en-US"/>
              </w:rPr>
              <w:t>2</w:t>
            </w:r>
          </w:p>
        </w:tc>
        <w:tc>
          <w:tcPr>
            <w:tcW w:w="2064" w:type="dxa"/>
            <w:shd w:val="clear" w:color="auto" w:fill="FFFFFF" w:themeFill="background1"/>
          </w:tcPr>
          <w:p w14:paraId="5B0E9884"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Demonstration</w:t>
            </w:r>
          </w:p>
          <w:p w14:paraId="59FDF417"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Facility</w:t>
            </w:r>
          </w:p>
        </w:tc>
        <w:tc>
          <w:tcPr>
            <w:tcW w:w="1388" w:type="dxa"/>
            <w:shd w:val="clear" w:color="auto" w:fill="FFFFFF" w:themeFill="background1"/>
          </w:tcPr>
          <w:p w14:paraId="7E8A0505" w14:textId="27461A38"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202D2458" wp14:editId="34ACBF6D">
                  <wp:extent cx="461882" cy="477078"/>
                  <wp:effectExtent l="0" t="0" r="0" b="0"/>
                  <wp:docPr id="96" name="Picture 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0FEF9BE3" w14:textId="77777777"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FFFFFF" w:themeFill="background1"/>
          </w:tcPr>
          <w:p w14:paraId="763C0BBC" w14:textId="25963918"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facility is being developed as a demonstration plant for future </w:t>
            </w:r>
            <w:r>
              <w:rPr>
                <w:sz w:val="18"/>
                <w:szCs w:val="18"/>
                <w:lang w:val="en-US"/>
              </w:rPr>
              <w:t>scale up</w:t>
            </w:r>
            <w:r w:rsidRPr="00921944">
              <w:rPr>
                <w:sz w:val="18"/>
                <w:szCs w:val="18"/>
                <w:lang w:val="en-US"/>
              </w:rPr>
              <w:t>.</w:t>
            </w:r>
          </w:p>
        </w:tc>
      </w:tr>
      <w:tr w:rsidR="00BF0D8C" w:rsidRPr="00921944" w14:paraId="21BF79E3"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707F663F" w14:textId="1D377817" w:rsidR="00BF0D8C" w:rsidRPr="00921944" w:rsidRDefault="007A1DBD" w:rsidP="00BF0D8C">
            <w:pPr>
              <w:pStyle w:val="ListParagraph"/>
              <w:ind w:left="0"/>
              <w:contextualSpacing w:val="0"/>
              <w:rPr>
                <w:bCs/>
                <w:sz w:val="18"/>
                <w:szCs w:val="18"/>
                <w:lang w:val="en-US"/>
              </w:rPr>
            </w:pPr>
            <w:r>
              <w:rPr>
                <w:bCs/>
                <w:sz w:val="18"/>
                <w:szCs w:val="18"/>
                <w:lang w:val="en-US"/>
              </w:rPr>
              <w:t>10</w:t>
            </w:r>
            <w:r w:rsidR="00BF0D8C" w:rsidRPr="00921944">
              <w:rPr>
                <w:bCs/>
                <w:sz w:val="18"/>
                <w:szCs w:val="18"/>
                <w:lang w:val="en-US"/>
              </w:rPr>
              <w:t>.</w:t>
            </w:r>
          </w:p>
        </w:tc>
        <w:tc>
          <w:tcPr>
            <w:tcW w:w="3396" w:type="dxa"/>
          </w:tcPr>
          <w:p w14:paraId="62827319"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H</w:t>
            </w:r>
            <w:r w:rsidRPr="004864D9">
              <w:rPr>
                <w:b/>
                <w:sz w:val="18"/>
                <w:szCs w:val="18"/>
                <w:vertAlign w:val="subscript"/>
                <w:lang w:val="en-US"/>
              </w:rPr>
              <w:t>2</w:t>
            </w:r>
            <w:r w:rsidRPr="00921944">
              <w:rPr>
                <w:b/>
                <w:bCs/>
                <w:sz w:val="18"/>
                <w:szCs w:val="18"/>
                <w:lang w:val="en-US"/>
              </w:rPr>
              <w:t>-Hub</w:t>
            </w:r>
            <w:r w:rsidRPr="00921944">
              <w:rPr>
                <w:b/>
                <w:bCs/>
                <w:sz w:val="18"/>
                <w:szCs w:val="18"/>
                <w:vertAlign w:val="superscript"/>
                <w:lang w:val="en-US"/>
              </w:rPr>
              <w:t xml:space="preserve">TM </w:t>
            </w:r>
            <w:r w:rsidRPr="00921944">
              <w:rPr>
                <w:b/>
                <w:bCs/>
                <w:sz w:val="18"/>
                <w:szCs w:val="18"/>
                <w:lang w:val="en-US"/>
              </w:rPr>
              <w:t>Gladstone</w:t>
            </w:r>
          </w:p>
          <w:p w14:paraId="1CB3B5CF" w14:textId="650E4B74" w:rsidR="00BF0D8C"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Hydrogen Utility (H2U</w:t>
            </w:r>
            <w:r>
              <w:rPr>
                <w:sz w:val="18"/>
                <w:szCs w:val="18"/>
                <w:vertAlign w:val="superscript"/>
                <w:lang w:val="en-US"/>
              </w:rPr>
              <w:t>TM</w:t>
            </w:r>
            <w:r w:rsidRPr="00921944">
              <w:rPr>
                <w:sz w:val="18"/>
                <w:szCs w:val="18"/>
                <w:lang w:val="en-US"/>
              </w:rPr>
              <w:t xml:space="preserve">), a clean infrastructure company, is developing plans for a 3 GW </w:t>
            </w:r>
            <w:r>
              <w:rPr>
                <w:sz w:val="18"/>
                <w:szCs w:val="18"/>
                <w:lang w:val="en-US"/>
              </w:rPr>
              <w:t>electrolyser</w:t>
            </w:r>
            <w:r w:rsidRPr="00921944">
              <w:rPr>
                <w:sz w:val="18"/>
                <w:szCs w:val="18"/>
                <w:lang w:val="en-US"/>
              </w:rPr>
              <w:t xml:space="preserve"> facility for green ammonia production and its subsequent export.</w:t>
            </w:r>
            <w:r w:rsidRPr="00921944">
              <w:rPr>
                <w:sz w:val="18"/>
                <w:szCs w:val="18"/>
                <w:lang w:val="en-US"/>
              </w:rPr>
              <w:fldChar w:fldCharType="begin" w:fldLock="1"/>
            </w:r>
            <w:r w:rsidR="00D21B34">
              <w:rPr>
                <w:sz w:val="18"/>
                <w:szCs w:val="18"/>
                <w:lang w:val="en-US"/>
              </w:rPr>
              <w:instrText>ADDIN CSL_CITATION {"citationItems":[{"id":"ITEM-1","itemData":{"URL":"https://www.ammoniaenergy.org/articles/h2u-moves-forward-with-3-gw-green-ammonia-export-plant/","accessed":{"date-parts":[["2021","4","20"]]},"author":[{"dropping-particle":"","family":"Brown Trevor","given":"","non-dropping-particle":"","parse-names":false,"suffix":""}],"container-title":"Ammonia Energy","id":"ITEM-1","issued":{"date-parts":[["2020","3","12"]]},"title":"H2U moves forward with 3 GW green ammonia export plant ","type":"webpage"},"uris":["http://www.mendeley.com/documents/?uuid=74b250d1-ec63-3d1d-81ae-226684274c6f"]},{"id":"ITEM-2","itemData":{"URL":"https://research.csiro.au/hyresource/h2-hub-gladstone/","accessed":{"date-parts":[["2021","4","20"]]},"author":[{"dropping-particle":"","family":"CSIRO","given":"","non-dropping-particle":"","parse-names":false,"suffix":""}],"container-title":"HyResource","id":"ITEM-2","issued":{"date-parts":[["2020","9","23"]]},"title":"H2-Hub(TM) Gladstone ","type":"webpage"},"uris":["http://www.mendeley.com/documents/?uuid=c2dc6846-982c-321d-a784-d039ca9500c6"]}],"mendeley":{"formattedCitation":"&lt;sup&gt;23,24&lt;/sup&gt;","plainTextFormattedCitation":"23,24","previouslyFormattedCitation":"&lt;sup&gt;23,24&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23,24</w:t>
            </w:r>
            <w:r w:rsidRPr="00921944">
              <w:rPr>
                <w:sz w:val="18"/>
                <w:szCs w:val="18"/>
                <w:lang w:val="en-US"/>
              </w:rPr>
              <w:fldChar w:fldCharType="end"/>
            </w:r>
          </w:p>
          <w:p w14:paraId="4EA95EA6" w14:textId="4BC104D2" w:rsidR="00BF0D8C"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The plant is expected to be developed and scaled in stages. The company has already purchased land (171 hectares) in Gladstone from the Queensland Government. It now plans to conduct a detailed feasibility study with a target to get approvals by 2023 and commence operations by 2025.</w:t>
            </w:r>
          </w:p>
          <w:p w14:paraId="41867BCB" w14:textId="5E171E30" w:rsidR="00BF0D8C" w:rsidRPr="00921944"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H2U</w:t>
            </w:r>
            <w:r>
              <w:rPr>
                <w:sz w:val="18"/>
                <w:szCs w:val="18"/>
                <w:vertAlign w:val="superscript"/>
                <w:lang w:val="en-US"/>
              </w:rPr>
              <w:t>TM</w:t>
            </w:r>
            <w:r>
              <w:rPr>
                <w:sz w:val="18"/>
                <w:szCs w:val="18"/>
                <w:lang w:val="en-US"/>
              </w:rPr>
              <w:t xml:space="preserve"> is also working to secure export opportunities and have secured an agreement with Germany’s RWE Supply and Trading to export green hydrogen/ammonia to Germany.</w:t>
            </w:r>
            <w:r>
              <w:rPr>
                <w:sz w:val="18"/>
                <w:szCs w:val="18"/>
                <w:lang w:val="en-US"/>
              </w:rPr>
              <w:fldChar w:fldCharType="begin" w:fldLock="1"/>
            </w:r>
            <w:r w:rsidR="00D21B34">
              <w:rPr>
                <w:sz w:val="18"/>
                <w:szCs w:val="18"/>
                <w:lang w:val="en-US"/>
              </w:rPr>
              <w:instrText>ADDIN CSL_CITATION {"citationItems":[{"id":"ITEM-1","itemData":{"URL":"https://www.rwe.com/en/press/rwe-supply-and-trading/rwe-and-h2u-join-forces-to-develop-global-hydrogen-trading-between-australia-and-germany","accessed":{"date-parts":[["2021","7","23"]]},"author":[{"dropping-particle":"","family":"RWE","given":"","non-dropping-particle":"","parse-names":false,"suffix":""}],"container-title":"Press Release","id":"ITEM-1","issued":{"date-parts":[["2021","4","15"]]},"title":"RWE and H2U join forces to develop global hydrogen trading between Australia and Germany","type":"webpage"},"uris":["http://www.mendeley.com/documents/?uuid=f0b3735b-2a05-3301-9109-f3add16c1613"]}],"mendeley":{"formattedCitation":"&lt;sup&gt;25&lt;/sup&gt;","plainTextFormattedCitation":"25","previouslyFormattedCitation":"&lt;sup&gt;25&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25</w:t>
            </w:r>
            <w:r>
              <w:rPr>
                <w:sz w:val="18"/>
                <w:szCs w:val="18"/>
                <w:lang w:val="en-US"/>
              </w:rPr>
              <w:fldChar w:fldCharType="end"/>
            </w:r>
          </w:p>
        </w:tc>
        <w:tc>
          <w:tcPr>
            <w:tcW w:w="1377" w:type="dxa"/>
          </w:tcPr>
          <w:p w14:paraId="5F48024C"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Gladstone,</w:t>
            </w:r>
          </w:p>
          <w:p w14:paraId="688CF87F"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Qld</w:t>
            </w:r>
          </w:p>
        </w:tc>
        <w:tc>
          <w:tcPr>
            <w:tcW w:w="2059" w:type="dxa"/>
          </w:tcPr>
          <w:p w14:paraId="28EB9EF4" w14:textId="60A9D3CA" w:rsidR="00BF0D8C" w:rsidRPr="00D914FE"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3,000 MW </w:t>
            </w:r>
            <w:r>
              <w:rPr>
                <w:sz w:val="18"/>
                <w:szCs w:val="18"/>
                <w:lang w:val="en-US"/>
              </w:rPr>
              <w:t>electrolyser for H</w:t>
            </w:r>
            <w:r w:rsidRPr="009F3F8C">
              <w:rPr>
                <w:sz w:val="18"/>
                <w:szCs w:val="18"/>
                <w:vertAlign w:val="subscript"/>
                <w:lang w:val="en-US"/>
              </w:rPr>
              <w:t>2</w:t>
            </w:r>
            <w:r>
              <w:rPr>
                <w:sz w:val="18"/>
                <w:szCs w:val="18"/>
                <w:vertAlign w:val="subscript"/>
                <w:lang w:val="en-US"/>
              </w:rPr>
              <w:t xml:space="preserve"> </w:t>
            </w:r>
            <w:r>
              <w:rPr>
                <w:sz w:val="18"/>
                <w:szCs w:val="18"/>
                <w:lang w:val="en-US"/>
              </w:rPr>
              <w:t>Generation</w:t>
            </w:r>
          </w:p>
          <w:p w14:paraId="43550B54"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38A90C77" w14:textId="269A33A3"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4.8 </w:t>
            </w:r>
            <w:proofErr w:type="spellStart"/>
            <w:r>
              <w:rPr>
                <w:sz w:val="18"/>
                <w:szCs w:val="18"/>
                <w:lang w:val="en-US"/>
              </w:rPr>
              <w:t>ktpd</w:t>
            </w:r>
            <w:proofErr w:type="spellEnd"/>
            <w:r>
              <w:rPr>
                <w:sz w:val="18"/>
                <w:szCs w:val="18"/>
                <w:lang w:val="en-US"/>
              </w:rPr>
              <w:t xml:space="preserve"> of ammonia</w:t>
            </w:r>
          </w:p>
          <w:p w14:paraId="40F68C86"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4EBCF577" w14:textId="4221A6B4" w:rsidR="00BF0D8C" w:rsidRDefault="00BF0D8C" w:rsidP="00BF0D8C">
            <w:pPr>
              <w:pStyle w:val="ListParagraph"/>
              <w:numPr>
                <w:ilvl w:val="0"/>
                <w:numId w:val="42"/>
              </w:numPr>
              <w:tabs>
                <w:tab w:val="clear" w:pos="357"/>
              </w:tabs>
              <w:ind w:left="257" w:hanging="257"/>
              <w:cnfStyle w:val="000000000000" w:firstRow="0" w:lastRow="0" w:firstColumn="0" w:lastColumn="0" w:oddVBand="0" w:evenVBand="0" w:oddHBand="0" w:evenHBand="0" w:firstRowFirstColumn="0" w:firstRowLastColumn="0" w:lastRowFirstColumn="0" w:lastRowLastColumn="0"/>
              <w:rPr>
                <w:sz w:val="18"/>
                <w:szCs w:val="18"/>
                <w:lang w:val="en-US"/>
              </w:rPr>
            </w:pPr>
            <w:r w:rsidRPr="00546E4D">
              <w:rPr>
                <w:sz w:val="18"/>
                <w:szCs w:val="18"/>
                <w:u w:val="single"/>
                <w:lang w:val="en-US"/>
              </w:rPr>
              <w:t>Stage 1:</w:t>
            </w:r>
            <w:r>
              <w:rPr>
                <w:sz w:val="18"/>
                <w:szCs w:val="18"/>
                <w:lang w:val="en-US"/>
              </w:rPr>
              <w:t xml:space="preserve"> 1.5 GW installation by 2023: 2.4 </w:t>
            </w:r>
            <w:proofErr w:type="spellStart"/>
            <w:r>
              <w:rPr>
                <w:sz w:val="18"/>
                <w:szCs w:val="18"/>
                <w:lang w:val="en-US"/>
              </w:rPr>
              <w:t>ktpd</w:t>
            </w:r>
            <w:proofErr w:type="spellEnd"/>
            <w:r>
              <w:rPr>
                <w:sz w:val="18"/>
                <w:szCs w:val="18"/>
                <w:lang w:val="en-US"/>
              </w:rPr>
              <w:t xml:space="preserve"> of ammonia.</w:t>
            </w:r>
          </w:p>
          <w:p w14:paraId="005160AE" w14:textId="77777777" w:rsidR="00BF0D8C" w:rsidRDefault="00BF0D8C" w:rsidP="00BF0D8C">
            <w:pPr>
              <w:pStyle w:val="ListParagraph"/>
              <w:tabs>
                <w:tab w:val="clear" w:pos="357"/>
              </w:tabs>
              <w:ind w:left="257"/>
              <w:cnfStyle w:val="000000000000" w:firstRow="0" w:lastRow="0" w:firstColumn="0" w:lastColumn="0" w:oddVBand="0" w:evenVBand="0" w:oddHBand="0" w:evenHBand="0" w:firstRowFirstColumn="0" w:firstRowLastColumn="0" w:lastRowFirstColumn="0" w:lastRowLastColumn="0"/>
              <w:rPr>
                <w:sz w:val="18"/>
                <w:szCs w:val="18"/>
                <w:lang w:val="en-US"/>
              </w:rPr>
            </w:pPr>
          </w:p>
          <w:p w14:paraId="14426E9B" w14:textId="55C454A5" w:rsidR="00BF0D8C" w:rsidRDefault="00BF0D8C" w:rsidP="00BF0D8C">
            <w:pPr>
              <w:pStyle w:val="ListParagraph"/>
              <w:numPr>
                <w:ilvl w:val="0"/>
                <w:numId w:val="42"/>
              </w:numPr>
              <w:tabs>
                <w:tab w:val="clear" w:pos="357"/>
              </w:tabs>
              <w:ind w:left="257" w:hanging="257"/>
              <w:cnfStyle w:val="000000000000" w:firstRow="0" w:lastRow="0" w:firstColumn="0" w:lastColumn="0" w:oddVBand="0" w:evenVBand="0" w:oddHBand="0" w:evenHBand="0" w:firstRowFirstColumn="0" w:firstRowLastColumn="0" w:lastRowFirstColumn="0" w:lastRowLastColumn="0"/>
              <w:rPr>
                <w:sz w:val="18"/>
                <w:szCs w:val="18"/>
                <w:lang w:val="en-US"/>
              </w:rPr>
            </w:pPr>
            <w:r w:rsidRPr="00546E4D">
              <w:rPr>
                <w:sz w:val="18"/>
                <w:szCs w:val="18"/>
                <w:u w:val="single"/>
                <w:lang w:val="en-US"/>
              </w:rPr>
              <w:t>Sta</w:t>
            </w:r>
            <w:r>
              <w:rPr>
                <w:sz w:val="18"/>
                <w:szCs w:val="18"/>
                <w:u w:val="single"/>
                <w:lang w:val="en-US"/>
              </w:rPr>
              <w:t>g</w:t>
            </w:r>
            <w:r w:rsidRPr="00546E4D">
              <w:rPr>
                <w:sz w:val="18"/>
                <w:szCs w:val="18"/>
                <w:u w:val="single"/>
                <w:lang w:val="en-US"/>
              </w:rPr>
              <w:t>e</w:t>
            </w:r>
            <w:r>
              <w:rPr>
                <w:sz w:val="18"/>
                <w:szCs w:val="18"/>
                <w:u w:val="single"/>
                <w:lang w:val="en-US"/>
              </w:rPr>
              <w:t xml:space="preserve"> 2:</w:t>
            </w:r>
            <w:r>
              <w:rPr>
                <w:sz w:val="18"/>
                <w:szCs w:val="18"/>
                <w:lang w:val="en-US"/>
              </w:rPr>
              <w:t xml:space="preserve"> Additional 1.5 GW installation by 2027: 2.4 </w:t>
            </w:r>
            <w:proofErr w:type="spellStart"/>
            <w:r>
              <w:rPr>
                <w:sz w:val="18"/>
                <w:szCs w:val="18"/>
                <w:lang w:val="en-US"/>
              </w:rPr>
              <w:t>ktpd</w:t>
            </w:r>
            <w:proofErr w:type="spellEnd"/>
            <w:r>
              <w:rPr>
                <w:sz w:val="18"/>
                <w:szCs w:val="18"/>
                <w:lang w:val="en-US"/>
              </w:rPr>
              <w:t xml:space="preserve"> of ammonia.</w:t>
            </w:r>
          </w:p>
          <w:p w14:paraId="032606A5" w14:textId="349A9F1E" w:rsidR="00BF0D8C" w:rsidRPr="00546E4D" w:rsidRDefault="00BF0D8C" w:rsidP="00BF0D8C">
            <w:pPr>
              <w:cnfStyle w:val="000000000000" w:firstRow="0" w:lastRow="0" w:firstColumn="0" w:lastColumn="0" w:oddVBand="0" w:evenVBand="0" w:oddHBand="0" w:evenHBand="0" w:firstRowFirstColumn="0" w:firstRowLastColumn="0" w:lastRowFirstColumn="0" w:lastRowLastColumn="0"/>
              <w:rPr>
                <w:sz w:val="18"/>
                <w:szCs w:val="18"/>
                <w:u w:val="single"/>
                <w:lang w:val="en-US"/>
              </w:rPr>
            </w:pPr>
          </w:p>
        </w:tc>
        <w:tc>
          <w:tcPr>
            <w:tcW w:w="2064" w:type="dxa"/>
          </w:tcPr>
          <w:p w14:paraId="64D987A2"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Pre-Feasibility Phase</w:t>
            </w:r>
          </w:p>
          <w:p w14:paraId="08354BB1"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388" w:type="dxa"/>
          </w:tcPr>
          <w:p w14:paraId="7FA576C0" w14:textId="77777777"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1374" w:type="dxa"/>
          </w:tcPr>
          <w:p w14:paraId="09C99F76" w14:textId="6BADDC68"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3DC6C764" wp14:editId="57582CC9">
                  <wp:extent cx="461882" cy="477078"/>
                  <wp:effectExtent l="0" t="0" r="0" b="0"/>
                  <wp:docPr id="97" name="Picture 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16F72126" w14:textId="6213C89E"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project is in development and is expected to be operational by </w:t>
            </w:r>
            <w:r>
              <w:rPr>
                <w:sz w:val="18"/>
                <w:szCs w:val="18"/>
                <w:lang w:val="en-US"/>
              </w:rPr>
              <w:t>2023-</w:t>
            </w:r>
            <w:r w:rsidRPr="00921944">
              <w:rPr>
                <w:sz w:val="18"/>
                <w:szCs w:val="18"/>
                <w:lang w:val="en-US"/>
              </w:rPr>
              <w:t>2025.</w:t>
            </w:r>
          </w:p>
        </w:tc>
      </w:tr>
      <w:tr w:rsidR="007A1DBD" w:rsidRPr="00921944" w14:paraId="29885DF1"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49B3AD17" w14:textId="592D9326" w:rsidR="00BF0D8C" w:rsidRPr="00921944" w:rsidRDefault="007A1DBD" w:rsidP="00BF0D8C">
            <w:pPr>
              <w:pStyle w:val="ListParagraph"/>
              <w:ind w:left="0"/>
              <w:contextualSpacing w:val="0"/>
              <w:rPr>
                <w:bCs/>
                <w:sz w:val="18"/>
                <w:szCs w:val="18"/>
                <w:lang w:val="en-US"/>
              </w:rPr>
            </w:pPr>
            <w:r>
              <w:rPr>
                <w:bCs/>
                <w:sz w:val="18"/>
                <w:szCs w:val="18"/>
                <w:lang w:val="en-US"/>
              </w:rPr>
              <w:t>11</w:t>
            </w:r>
            <w:r w:rsidR="00BF0D8C" w:rsidRPr="00921944">
              <w:rPr>
                <w:bCs/>
                <w:sz w:val="18"/>
                <w:szCs w:val="18"/>
                <w:lang w:val="en-US"/>
              </w:rPr>
              <w:t>.</w:t>
            </w:r>
          </w:p>
        </w:tc>
        <w:tc>
          <w:tcPr>
            <w:tcW w:w="3396" w:type="dxa"/>
            <w:shd w:val="clear" w:color="auto" w:fill="FFFFFF" w:themeFill="background1"/>
          </w:tcPr>
          <w:p w14:paraId="0D042AF8" w14:textId="77777777" w:rsidR="00BF0D8C" w:rsidRPr="00921944" w:rsidRDefault="00BF0D8C" w:rsidP="00BF0D8C">
            <w:pPr>
              <w:pStyle w:val="ListParagraph"/>
              <w:ind w:left="0" w:right="78"/>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Hydrogen Park Gladstone (</w:t>
            </w:r>
            <w:proofErr w:type="spellStart"/>
            <w:r w:rsidRPr="00921944">
              <w:rPr>
                <w:b/>
                <w:bCs/>
                <w:sz w:val="18"/>
                <w:szCs w:val="18"/>
                <w:lang w:val="en-US"/>
              </w:rPr>
              <w:t>HyP</w:t>
            </w:r>
            <w:proofErr w:type="spellEnd"/>
            <w:r w:rsidRPr="00921944">
              <w:rPr>
                <w:b/>
                <w:bCs/>
                <w:sz w:val="18"/>
                <w:szCs w:val="18"/>
                <w:lang w:val="en-US"/>
              </w:rPr>
              <w:t xml:space="preserve"> Gladstone)</w:t>
            </w:r>
          </w:p>
          <w:p w14:paraId="3E42AFEF" w14:textId="0723BA32" w:rsidR="00BF0D8C" w:rsidRDefault="00BF0D8C" w:rsidP="00BF0D8C">
            <w:pPr>
              <w:pStyle w:val="ListParagraph"/>
              <w:spacing w:before="240" w:after="120"/>
              <w:ind w:left="0" w:right="78"/>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lastRenderedPageBreak/>
              <w:t xml:space="preserve">The Australian Gas Networks (AGN) is establishing a 175 kW PEM </w:t>
            </w:r>
            <w:r>
              <w:rPr>
                <w:sz w:val="18"/>
                <w:szCs w:val="18"/>
                <w:lang w:val="en-US"/>
              </w:rPr>
              <w:t>electrolyser</w:t>
            </w:r>
            <w:r w:rsidRPr="00921944">
              <w:rPr>
                <w:sz w:val="18"/>
                <w:szCs w:val="18"/>
                <w:lang w:val="en-US"/>
              </w:rPr>
              <w:t xml:space="preserve"> system.</w:t>
            </w:r>
            <w:r>
              <w:rPr>
                <w:sz w:val="18"/>
                <w:szCs w:val="18"/>
                <w:lang w:val="en-US"/>
              </w:rPr>
              <w:fldChar w:fldCharType="begin" w:fldLock="1"/>
            </w:r>
            <w:r w:rsidR="00D21B34">
              <w:rPr>
                <w:sz w:val="18"/>
                <w:szCs w:val="18"/>
                <w:lang w:val="en-US"/>
              </w:rPr>
              <w:instrText>ADDIN CSL_CITATION {"citationItems":[{"id":"ITEM-1","itemData":{"URL":"https://www.pipeliner.com.au/2020/03/05/agn-expands-hydrogen-to-qld/","accessed":{"date-parts":[["2021","7","23"]]},"container-title":"The Australian Pipeliner","id":"ITEM-1","issued":{"date-parts":[["2020","3"]]},"title":"AGN expands hydrogen to QLD ","type":"webpage"},"uris":["http://www.mendeley.com/documents/?uuid=bc5747b1-c48c-33c4-9576-4a8f82220731"]}],"mendeley":{"formattedCitation":"&lt;sup&gt;26&lt;/sup&gt;","plainTextFormattedCitation":"26","previouslyFormattedCitation":"&lt;sup&gt;26&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26</w:t>
            </w:r>
            <w:r>
              <w:rPr>
                <w:sz w:val="18"/>
                <w:szCs w:val="18"/>
                <w:lang w:val="en-US"/>
              </w:rPr>
              <w:fldChar w:fldCharType="end"/>
            </w:r>
          </w:p>
          <w:p w14:paraId="15D2F229" w14:textId="77777777" w:rsidR="00BF0D8C" w:rsidRDefault="00BF0D8C" w:rsidP="00BF0D8C">
            <w:pPr>
              <w:pStyle w:val="ListParagraph"/>
              <w:spacing w:before="240" w:after="120"/>
              <w:ind w:left="0" w:right="78"/>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facility will be a demonstration plant for injecting hydrogen into natural gas grid (10% by vol.) for domestic, commercial, and industrial use.</w:t>
            </w:r>
          </w:p>
          <w:p w14:paraId="73F116E0" w14:textId="2B7999A8" w:rsidR="00BF0D8C" w:rsidRPr="00921944" w:rsidRDefault="00BF0D8C" w:rsidP="00BF0D8C">
            <w:pPr>
              <w:pStyle w:val="ListParagraph"/>
              <w:spacing w:before="240" w:after="120"/>
              <w:ind w:left="0" w:right="78"/>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facility is expected to cost </w:t>
            </w:r>
            <w:r>
              <w:rPr>
                <w:sz w:val="18"/>
                <w:szCs w:val="18"/>
                <w:lang w:val="en-US"/>
              </w:rPr>
              <w:t>A</w:t>
            </w:r>
            <w:r w:rsidRPr="00921944">
              <w:rPr>
                <w:sz w:val="18"/>
                <w:szCs w:val="18"/>
                <w:lang w:val="en-US"/>
              </w:rPr>
              <w:t xml:space="preserve">$4.2 million and has received a </w:t>
            </w:r>
            <w:r>
              <w:rPr>
                <w:sz w:val="18"/>
                <w:szCs w:val="18"/>
                <w:lang w:val="en-US"/>
              </w:rPr>
              <w:t>A</w:t>
            </w:r>
            <w:r w:rsidRPr="00921944">
              <w:rPr>
                <w:sz w:val="18"/>
                <w:szCs w:val="18"/>
                <w:lang w:val="en-US"/>
              </w:rPr>
              <w:t>$1.7 million in grant funding under the Qld Government’s Hydrogen Industry Development Fund.</w:t>
            </w:r>
            <w:r w:rsidRPr="00921944">
              <w:rPr>
                <w:sz w:val="18"/>
                <w:szCs w:val="18"/>
                <w:lang w:val="en-US"/>
              </w:rPr>
              <w:fldChar w:fldCharType="begin" w:fldLock="1"/>
            </w:r>
            <w:r w:rsidR="00D21B34">
              <w:rPr>
                <w:sz w:val="18"/>
                <w:szCs w:val="18"/>
                <w:lang w:val="en-US"/>
              </w:rPr>
              <w:instrText>ADDIN CSL_CITATION {"citationItems":[{"id":"ITEM-1","itemData":{"URL":"https://www.agig.com.au/hydrogen-park-gladstone","accessed":{"date-parts":[["2021","4","20"]]},"author":[{"dropping-particle":"","family":"AGIG","given":"","non-dropping-particle":"","parse-names":false,"suffix":""}],"id":"ITEM-1","issued":{"date-parts":[["2021"]]},"title":"Hydrogen Park Gladstone ","type":"webpage"},"uris":["http://www.mendeley.com/documents/?uuid=7b3f5e33-dc70-3e4d-b3d0-2108c40d3387"]}],"mendeley":{"formattedCitation":"&lt;sup&gt;27&lt;/sup&gt;","plainTextFormattedCitation":"27","previouslyFormattedCitation":"&lt;sup&gt;27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27</w:t>
            </w:r>
            <w:r w:rsidRPr="00921944">
              <w:rPr>
                <w:sz w:val="18"/>
                <w:szCs w:val="18"/>
                <w:lang w:val="en-US"/>
              </w:rPr>
              <w:fldChar w:fldCharType="end"/>
            </w:r>
          </w:p>
        </w:tc>
        <w:tc>
          <w:tcPr>
            <w:tcW w:w="1377" w:type="dxa"/>
            <w:shd w:val="clear" w:color="auto" w:fill="FFFFFF" w:themeFill="background1"/>
          </w:tcPr>
          <w:p w14:paraId="030784B7"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lastRenderedPageBreak/>
              <w:t xml:space="preserve">Gladstone, </w:t>
            </w:r>
          </w:p>
          <w:p w14:paraId="527B2557"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rFonts w:cs="Arial"/>
                <w:sz w:val="18"/>
                <w:szCs w:val="18"/>
              </w:rPr>
            </w:pPr>
            <w:r w:rsidRPr="00921944">
              <w:rPr>
                <w:rFonts w:cs="Arial"/>
                <w:sz w:val="18"/>
                <w:szCs w:val="18"/>
              </w:rPr>
              <w:t>Qld</w:t>
            </w:r>
          </w:p>
        </w:tc>
        <w:tc>
          <w:tcPr>
            <w:tcW w:w="2059" w:type="dxa"/>
            <w:shd w:val="clear" w:color="auto" w:fill="FFFFFF" w:themeFill="background1"/>
          </w:tcPr>
          <w:p w14:paraId="595451AC" w14:textId="2C58AAB0"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20</w:t>
            </w:r>
            <w:r w:rsidRPr="00921944">
              <w:rPr>
                <w:sz w:val="18"/>
                <w:szCs w:val="18"/>
                <w:lang w:val="en-US"/>
              </w:rPr>
              <w:t xml:space="preserve"> </w:t>
            </w:r>
            <w:r>
              <w:rPr>
                <w:sz w:val="18"/>
                <w:szCs w:val="18"/>
                <w:lang w:val="en-US"/>
              </w:rPr>
              <w:t>kg pd</w:t>
            </w:r>
          </w:p>
          <w:p w14:paraId="12CE26E1" w14:textId="7D849CD4"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(0.175 MW </w:t>
            </w:r>
            <w:r>
              <w:rPr>
                <w:sz w:val="18"/>
                <w:szCs w:val="18"/>
                <w:lang w:val="en-US"/>
              </w:rPr>
              <w:t>electrolyser</w:t>
            </w:r>
            <w:r w:rsidRPr="00921944">
              <w:rPr>
                <w:sz w:val="18"/>
                <w:szCs w:val="18"/>
                <w:lang w:val="en-US"/>
              </w:rPr>
              <w:t>)</w:t>
            </w:r>
          </w:p>
        </w:tc>
        <w:tc>
          <w:tcPr>
            <w:tcW w:w="2064" w:type="dxa"/>
            <w:shd w:val="clear" w:color="auto" w:fill="FFFFFF" w:themeFill="background1"/>
          </w:tcPr>
          <w:p w14:paraId="09B62EBA"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Demonstration Facility</w:t>
            </w:r>
          </w:p>
        </w:tc>
        <w:tc>
          <w:tcPr>
            <w:tcW w:w="1388" w:type="dxa"/>
            <w:shd w:val="clear" w:color="auto" w:fill="FFFFFF" w:themeFill="background1"/>
          </w:tcPr>
          <w:p w14:paraId="2D2B56C2" w14:textId="5638873A"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4D762862" wp14:editId="2D72CBD6">
                  <wp:extent cx="461882" cy="477078"/>
                  <wp:effectExtent l="0" t="0" r="0" b="0"/>
                  <wp:docPr id="98" name="Picture 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FFFFFF" w:themeFill="background1"/>
          </w:tcPr>
          <w:p w14:paraId="72AC2B5D" w14:textId="77777777"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FFFFFF" w:themeFill="background1"/>
          </w:tcPr>
          <w:p w14:paraId="02EEAA53" w14:textId="0408440C" w:rsidR="00BF0D8C"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w:t>
            </w:r>
            <w:r>
              <w:rPr>
                <w:sz w:val="18"/>
                <w:szCs w:val="18"/>
                <w:lang w:val="en-US"/>
              </w:rPr>
              <w:t>electrolyser</w:t>
            </w:r>
            <w:r w:rsidRPr="00921944">
              <w:rPr>
                <w:sz w:val="18"/>
                <w:szCs w:val="18"/>
                <w:lang w:val="en-US"/>
              </w:rPr>
              <w:t xml:space="preserve"> has been ordered, and the site </w:t>
            </w:r>
            <w:r>
              <w:rPr>
                <w:sz w:val="18"/>
                <w:szCs w:val="18"/>
                <w:lang w:val="en-US"/>
              </w:rPr>
              <w:lastRenderedPageBreak/>
              <w:t>preparation is underway</w:t>
            </w:r>
            <w:r w:rsidRPr="00921944">
              <w:rPr>
                <w:sz w:val="18"/>
                <w:szCs w:val="18"/>
                <w:lang w:val="en-US"/>
              </w:rPr>
              <w:t xml:space="preserve"> to commence construction.</w:t>
            </w:r>
            <w:r w:rsidRPr="00921944">
              <w:rPr>
                <w:sz w:val="18"/>
                <w:szCs w:val="18"/>
                <w:lang w:val="en-US"/>
              </w:rPr>
              <w:fldChar w:fldCharType="begin" w:fldLock="1"/>
            </w:r>
            <w:r w:rsidR="00D21B34">
              <w:rPr>
                <w:sz w:val="18"/>
                <w:szCs w:val="18"/>
                <w:lang w:val="en-US"/>
              </w:rPr>
              <w:instrText>ADDIN CSL_CITATION {"citationItems":[{"id":"ITEM-1","itemData":{"URL":"https://www.agig.com.au/hydrogen-park-gladstone","accessed":{"date-parts":[["2021","4","20"]]},"author":[{"dropping-particle":"","family":"AGIG","given":"","non-dropping-particle":"","parse-names":false,"suffix":""}],"id":"ITEM-1","issued":{"date-parts":[["2021"]]},"title":"Hydrogen Park Gladstone ","type":"webpage"},"uris":["http://www.mendeley.com/documents/?uuid=7b3f5e33-dc70-3e4d-b3d0-2108c40d3387"]}],"mendeley":{"formattedCitation":"&lt;sup&gt;27&lt;/sup&gt;","plainTextFormattedCitation":"27","previouslyFormattedCitation":"&lt;sup&gt;27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27</w:t>
            </w:r>
            <w:r w:rsidRPr="00921944">
              <w:rPr>
                <w:sz w:val="18"/>
                <w:szCs w:val="18"/>
                <w:lang w:val="en-US"/>
              </w:rPr>
              <w:fldChar w:fldCharType="end"/>
            </w:r>
            <w:r>
              <w:rPr>
                <w:sz w:val="18"/>
                <w:szCs w:val="18"/>
                <w:lang w:val="en-US"/>
              </w:rPr>
              <w:t xml:space="preserve"> </w:t>
            </w:r>
          </w:p>
          <w:p w14:paraId="05CE3E1F" w14:textId="77777777" w:rsidR="00BF0D8C"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p w14:paraId="52087549" w14:textId="02B983D6"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Hydrogen production is anticipated by 2022.</w:t>
            </w:r>
            <w:r>
              <w:rPr>
                <w:sz w:val="18"/>
                <w:szCs w:val="18"/>
                <w:lang w:val="en-US"/>
              </w:rPr>
              <w:fldChar w:fldCharType="begin" w:fldLock="1"/>
            </w:r>
            <w:r w:rsidR="00D21B34">
              <w:rPr>
                <w:sz w:val="18"/>
                <w:szCs w:val="18"/>
                <w:lang w:val="en-US"/>
              </w:rPr>
              <w:instrText>ADDIN CSL_CITATION {"citationItems":[{"id":"ITEM-1","itemData":{"URL":"https://www.agig.com.au/hydrogen-park-gladstone","accessed":{"date-parts":[["2021","4","20"]]},"author":[{"dropping-particle":"","family":"AGIG","given":"","non-dropping-particle":"","parse-names":false,"suffix":""}],"id":"ITEM-1","issued":{"date-parts":[["2021"]]},"title":"Hydrogen Park Gladstone ","type":"webpage"},"uris":["http://www.mendeley.com/documents/?uuid=7b3f5e33-dc70-3e4d-b3d0-2108c40d3387"]}],"mendeley":{"formattedCitation":"&lt;sup&gt;27&lt;/sup&gt;","plainTextFormattedCitation":"27","previouslyFormattedCitation":"&lt;sup&gt;27&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27</w:t>
            </w:r>
            <w:r>
              <w:rPr>
                <w:sz w:val="18"/>
                <w:szCs w:val="18"/>
                <w:lang w:val="en-US"/>
              </w:rPr>
              <w:fldChar w:fldCharType="end"/>
            </w:r>
          </w:p>
        </w:tc>
      </w:tr>
      <w:tr w:rsidR="00BF0D8C" w:rsidRPr="00921944" w14:paraId="6F5F8EF0" w14:textId="77777777" w:rsidTr="007A1DBD">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6F88BA05" w14:textId="097D0DFD" w:rsidR="00BF0D8C" w:rsidRPr="00921944" w:rsidRDefault="00BF0D8C" w:rsidP="00BF0D8C">
            <w:pPr>
              <w:pStyle w:val="ListParagraph"/>
              <w:spacing w:after="120"/>
              <w:ind w:left="0"/>
              <w:contextualSpacing w:val="0"/>
              <w:rPr>
                <w:lang w:val="en-US"/>
              </w:rPr>
            </w:pPr>
            <w:r w:rsidRPr="00921944">
              <w:rPr>
                <w:sz w:val="18"/>
                <w:szCs w:val="18"/>
                <w:lang w:val="en-US"/>
              </w:rPr>
              <w:lastRenderedPageBreak/>
              <w:t>1</w:t>
            </w:r>
            <w:r w:rsidR="007A1DBD">
              <w:rPr>
                <w:sz w:val="18"/>
                <w:szCs w:val="18"/>
                <w:lang w:val="en-US"/>
              </w:rPr>
              <w:t>2</w:t>
            </w:r>
            <w:r w:rsidRPr="00921944">
              <w:rPr>
                <w:sz w:val="18"/>
                <w:szCs w:val="18"/>
                <w:lang w:val="en-US"/>
              </w:rPr>
              <w:t>.</w:t>
            </w:r>
          </w:p>
        </w:tc>
        <w:tc>
          <w:tcPr>
            <w:tcW w:w="3396" w:type="dxa"/>
          </w:tcPr>
          <w:p w14:paraId="6B5538FE" w14:textId="77777777" w:rsidR="00BF0D8C" w:rsidRPr="00921944" w:rsidRDefault="00BF0D8C" w:rsidP="00BF0D8C">
            <w:pPr>
              <w:spacing w:after="120"/>
              <w:cnfStyle w:val="000000000000" w:firstRow="0" w:lastRow="0" w:firstColumn="0" w:lastColumn="0" w:oddVBand="0" w:evenVBand="0" w:oddHBand="0" w:evenHBand="0" w:firstRowFirstColumn="0" w:firstRowLastColumn="0" w:lastRowFirstColumn="0" w:lastRowLastColumn="0"/>
              <w:rPr>
                <w:bCs/>
                <w:sz w:val="18"/>
                <w:szCs w:val="18"/>
              </w:rPr>
            </w:pPr>
            <w:r w:rsidRPr="00921944">
              <w:rPr>
                <w:b/>
                <w:bCs/>
                <w:sz w:val="18"/>
                <w:szCs w:val="18"/>
              </w:rPr>
              <w:t>APA Group and Southern Green Gas Renewable Methane Pilot Plant.</w:t>
            </w:r>
          </w:p>
          <w:p w14:paraId="4EC7BD30" w14:textId="114A7690" w:rsidR="00BF0D8C"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project commenced in March 2020 in Queensland and plans to capture CO</w:t>
            </w:r>
            <w:r w:rsidRPr="00921944">
              <w:rPr>
                <w:sz w:val="18"/>
                <w:szCs w:val="18"/>
                <w:vertAlign w:val="subscript"/>
                <w:lang w:val="en-US"/>
              </w:rPr>
              <w:t>2</w:t>
            </w:r>
            <w:r w:rsidRPr="00921944">
              <w:rPr>
                <w:sz w:val="18"/>
                <w:szCs w:val="18"/>
                <w:lang w:val="en-US"/>
              </w:rPr>
              <w:t xml:space="preserve"> from the atmosphere (using direct air capture technology) and react with H</w:t>
            </w:r>
            <w:r w:rsidRPr="00921944">
              <w:rPr>
                <w:sz w:val="18"/>
                <w:szCs w:val="18"/>
                <w:vertAlign w:val="subscript"/>
                <w:lang w:val="en-US"/>
              </w:rPr>
              <w:t>2</w:t>
            </w:r>
            <w:r w:rsidRPr="00921944">
              <w:rPr>
                <w:sz w:val="18"/>
                <w:szCs w:val="18"/>
                <w:lang w:val="en-US"/>
              </w:rPr>
              <w:t xml:space="preserve"> from electrolysis (5 kW </w:t>
            </w:r>
            <w:r>
              <w:rPr>
                <w:sz w:val="18"/>
                <w:szCs w:val="18"/>
                <w:lang w:val="en-US"/>
              </w:rPr>
              <w:t>electrolyser</w:t>
            </w:r>
            <w:r w:rsidRPr="00921944">
              <w:rPr>
                <w:sz w:val="18"/>
                <w:szCs w:val="18"/>
                <w:lang w:val="en-US"/>
              </w:rPr>
              <w:t>), producing 340 kg H</w:t>
            </w:r>
            <w:r w:rsidRPr="00921944">
              <w:rPr>
                <w:sz w:val="18"/>
                <w:szCs w:val="18"/>
                <w:vertAlign w:val="subscript"/>
                <w:lang w:val="en-US"/>
              </w:rPr>
              <w:t>2</w:t>
            </w:r>
            <w:r w:rsidRPr="00921944">
              <w:rPr>
                <w:sz w:val="18"/>
                <w:szCs w:val="18"/>
                <w:lang w:val="en-US"/>
              </w:rPr>
              <w:t xml:space="preserve"> per annum and converting it to 35 GJ of methane.</w:t>
            </w:r>
            <w:r w:rsidRPr="00921944">
              <w:rPr>
                <w:sz w:val="18"/>
                <w:szCs w:val="18"/>
                <w:lang w:val="en-US"/>
              </w:rPr>
              <w:fldChar w:fldCharType="begin" w:fldLock="1"/>
            </w:r>
            <w:r w:rsidR="00D21B34">
              <w:rPr>
                <w:sz w:val="18"/>
                <w:szCs w:val="18"/>
                <w:lang w:val="en-US"/>
              </w:rPr>
              <w:instrText>ADDIN CSL_CITATION {"citationItems":[{"id":"ITEM-1","itemData":{"id":"ITEM-1","issued":{"date-parts":[["0"]]},"title":"APA Renewable Methane Demonstration Project - Australian Renewable Energy Agency (ARENA)","type":"webpage"},"uris":["http://www.mendeley.com/documents/?uuid=3862ab0e-a0d9-3094-a02a-0de63aad83fe","http://www.mendeley.com/documents/?uuid=5c0a8007-eba6-411a-9168-9f0f7f637095","http://www.mendeley.com/documents/?uuid=cabbbd67-ceb0-4466-8a19-0a8ccb7edc9d"]}],"mendeley":{"formattedCitation":"&lt;sup&gt;28&lt;/sup&gt;","plainTextFormattedCitation":"28","previouslyFormattedCitation":"&lt;sup&gt;28&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28</w:t>
            </w:r>
            <w:r w:rsidRPr="00921944">
              <w:rPr>
                <w:sz w:val="18"/>
                <w:szCs w:val="18"/>
                <w:lang w:val="en-US"/>
              </w:rPr>
              <w:fldChar w:fldCharType="end"/>
            </w:r>
            <w:r w:rsidRPr="00921944">
              <w:rPr>
                <w:sz w:val="18"/>
                <w:szCs w:val="18"/>
                <w:lang w:val="en-US"/>
              </w:rPr>
              <w:t xml:space="preserve">  </w:t>
            </w:r>
          </w:p>
          <w:p w14:paraId="3F7846C2" w14:textId="1206271C" w:rsidR="00BF0D8C" w:rsidRPr="00921944"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initial project will cost $2.2 million for the plant.</w:t>
            </w:r>
            <w:r w:rsidRPr="00921944">
              <w:rPr>
                <w:sz w:val="18"/>
                <w:szCs w:val="18"/>
                <w:lang w:val="en-US"/>
              </w:rPr>
              <w:fldChar w:fldCharType="begin" w:fldLock="1"/>
            </w:r>
            <w:r w:rsidR="00D21B34">
              <w:rPr>
                <w:sz w:val="18"/>
                <w:szCs w:val="18"/>
                <w:lang w:val="en-US"/>
              </w:rPr>
              <w:instrText>ADDIN CSL_CITATION {"citationItems":[{"id":"ITEM-1","itemData":{"id":"ITEM-1","issued":{"date-parts":[["0"]]},"title":"APA to trial renewable methane in Australia’s gas pipelines – pv magazine Australia","type":"webpage"},"uris":["http://www.mendeley.com/documents/?uuid=dbe02354-53f9-3205-a422-b28676ff11ee","http://www.mendeley.com/documents/?uuid=412c31a0-caf6-45af-bc2d-8404b7cd67fa","http://www.mendeley.com/documents/?uuid=d91d5c0a-d182-4cf9-9b13-17e239d56de4"]}],"mendeley":{"formattedCitation":"&lt;sup&gt;29&lt;/sup&gt;","plainTextFormattedCitation":"29","previouslyFormattedCitation":"&lt;sup&gt;29&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29</w:t>
            </w:r>
            <w:r w:rsidRPr="00921944">
              <w:rPr>
                <w:sz w:val="18"/>
                <w:szCs w:val="18"/>
                <w:lang w:val="en-US"/>
              </w:rPr>
              <w:fldChar w:fldCharType="end"/>
            </w:r>
          </w:p>
        </w:tc>
        <w:tc>
          <w:tcPr>
            <w:tcW w:w="1377" w:type="dxa"/>
          </w:tcPr>
          <w:p w14:paraId="043F5C45" w14:textId="77777777" w:rsidR="00BF0D8C" w:rsidRPr="00921944" w:rsidRDefault="00BF0D8C" w:rsidP="00BF0D8C">
            <w:pPr>
              <w:pStyle w:val="ListParagraph"/>
              <w:spacing w:after="0"/>
              <w:ind w:left="0"/>
              <w:contextualSpacing w:val="0"/>
              <w:cnfStyle w:val="000000000000" w:firstRow="0" w:lastRow="0" w:firstColumn="0" w:lastColumn="0" w:oddVBand="0" w:evenVBand="0" w:oddHBand="0" w:evenHBand="0" w:firstRowFirstColumn="0" w:firstRowLastColumn="0" w:lastRowFirstColumn="0" w:lastRowLastColumn="0"/>
              <w:rPr>
                <w:rFonts w:cs="Arial"/>
                <w:sz w:val="18"/>
                <w:szCs w:val="18"/>
              </w:rPr>
            </w:pPr>
            <w:r w:rsidRPr="00921944">
              <w:rPr>
                <w:rFonts w:cs="Arial"/>
                <w:sz w:val="18"/>
                <w:szCs w:val="18"/>
              </w:rPr>
              <w:t xml:space="preserve">Wallumbilla, </w:t>
            </w:r>
          </w:p>
          <w:p w14:paraId="0DC363BD" w14:textId="77777777"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rFonts w:cs="Arial"/>
                <w:sz w:val="18"/>
                <w:szCs w:val="18"/>
              </w:rPr>
              <w:t>Qld</w:t>
            </w:r>
          </w:p>
        </w:tc>
        <w:tc>
          <w:tcPr>
            <w:tcW w:w="2059" w:type="dxa"/>
          </w:tcPr>
          <w:p w14:paraId="7D4F4424" w14:textId="72382FB8" w:rsidR="00BF0D8C"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0.34 </w:t>
            </w:r>
            <w:proofErr w:type="spellStart"/>
            <w:r>
              <w:rPr>
                <w:sz w:val="18"/>
                <w:szCs w:val="18"/>
                <w:lang w:val="en-US"/>
              </w:rPr>
              <w:t>tpa</w:t>
            </w:r>
            <w:proofErr w:type="spellEnd"/>
            <w:r>
              <w:rPr>
                <w:sz w:val="18"/>
                <w:szCs w:val="18"/>
                <w:lang w:val="en-US"/>
              </w:rPr>
              <w:t xml:space="preserve"> of H</w:t>
            </w:r>
            <w:r w:rsidRPr="00613BE7">
              <w:rPr>
                <w:sz w:val="18"/>
                <w:szCs w:val="18"/>
                <w:vertAlign w:val="subscript"/>
                <w:lang w:val="en-US"/>
              </w:rPr>
              <w:t>2</w:t>
            </w:r>
          </w:p>
          <w:p w14:paraId="389B545F" w14:textId="2C17DF94" w:rsidR="00BF0D8C"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(5 kW electrolyser)</w:t>
            </w:r>
          </w:p>
          <w:p w14:paraId="502371AE" w14:textId="77777777" w:rsidR="00BF0D8C"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1BD604A2" w14:textId="64F618D4"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35 GJ of methane p.a.</w:t>
            </w:r>
          </w:p>
        </w:tc>
        <w:tc>
          <w:tcPr>
            <w:tcW w:w="2064" w:type="dxa"/>
          </w:tcPr>
          <w:p w14:paraId="7C7C6C73" w14:textId="77777777"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tc>
        <w:tc>
          <w:tcPr>
            <w:tcW w:w="1388" w:type="dxa"/>
          </w:tcPr>
          <w:p w14:paraId="4C59816C" w14:textId="421D32CF" w:rsidR="00BF0D8C" w:rsidRPr="00921944" w:rsidRDefault="00BF0D8C" w:rsidP="00BF0D8C">
            <w:pPr>
              <w:pStyle w:val="ListParagraph"/>
              <w:spacing w:after="120"/>
              <w:ind w:left="0"/>
              <w:contextualSpacing w:val="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noProof/>
              </w:rPr>
              <w:drawing>
                <wp:inline distT="0" distB="0" distL="0" distR="0" wp14:anchorId="716B5A94" wp14:editId="5F08AC1F">
                  <wp:extent cx="461882" cy="477078"/>
                  <wp:effectExtent l="0" t="0" r="0" b="0"/>
                  <wp:docPr id="158" name="Picture 1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20C6D9A3" w14:textId="77777777" w:rsidR="00BF0D8C" w:rsidRPr="00921944" w:rsidRDefault="00BF0D8C" w:rsidP="00BF0D8C">
            <w:pPr>
              <w:pStyle w:val="ListParagraph"/>
              <w:spacing w:after="120"/>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2801" w:type="dxa"/>
          </w:tcPr>
          <w:p w14:paraId="07980E0C" w14:textId="77777777" w:rsidR="00BF0D8C" w:rsidRPr="00921944" w:rsidRDefault="00BF0D8C" w:rsidP="00BF0D8C">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Under Construction.</w:t>
            </w:r>
          </w:p>
        </w:tc>
      </w:tr>
      <w:tr w:rsidR="00BF0D8C" w:rsidRPr="00921944" w14:paraId="30DC221B" w14:textId="77777777" w:rsidTr="00B65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8"/>
            <w:shd w:val="clear" w:color="auto" w:fill="737373" w:themeFill="text2"/>
          </w:tcPr>
          <w:p w14:paraId="3FFB9050" w14:textId="77777777" w:rsidR="00BF0D8C" w:rsidRPr="00921944" w:rsidRDefault="00BF0D8C" w:rsidP="00BF0D8C">
            <w:pPr>
              <w:pStyle w:val="ListParagraph"/>
              <w:spacing w:before="120" w:after="120"/>
              <w:ind w:left="0"/>
              <w:contextualSpacing w:val="0"/>
              <w:rPr>
                <w:sz w:val="18"/>
                <w:szCs w:val="18"/>
                <w:lang w:val="en-US"/>
              </w:rPr>
            </w:pPr>
            <w:r w:rsidRPr="00921944">
              <w:rPr>
                <w:color w:val="FFFFFF" w:themeColor="background1"/>
                <w:sz w:val="18"/>
                <w:szCs w:val="18"/>
                <w:lang w:val="en-US"/>
              </w:rPr>
              <w:t>New South Wales</w:t>
            </w:r>
          </w:p>
        </w:tc>
      </w:tr>
      <w:tr w:rsidR="00BF0D8C" w:rsidRPr="00921944" w14:paraId="71413D52" w14:textId="77777777" w:rsidTr="00F74D8C">
        <w:tc>
          <w:tcPr>
            <w:cnfStyle w:val="001000000000" w:firstRow="0" w:lastRow="0" w:firstColumn="1" w:lastColumn="0" w:oddVBand="0" w:evenVBand="0" w:oddHBand="0" w:evenHBand="0" w:firstRowFirstColumn="0" w:firstRowLastColumn="0" w:lastRowFirstColumn="0" w:lastRowLastColumn="0"/>
            <w:tcW w:w="556" w:type="dxa"/>
            <w:shd w:val="clear" w:color="auto" w:fill="auto"/>
          </w:tcPr>
          <w:p w14:paraId="081545DF" w14:textId="3E1613E0" w:rsidR="00BF0D8C" w:rsidRPr="00921944" w:rsidRDefault="00BF0D8C" w:rsidP="00BF0D8C">
            <w:pPr>
              <w:pStyle w:val="ListParagraph"/>
              <w:ind w:left="0"/>
              <w:contextualSpacing w:val="0"/>
              <w:rPr>
                <w:bCs/>
                <w:color w:val="auto"/>
                <w:sz w:val="18"/>
                <w:szCs w:val="18"/>
                <w:lang w:val="en-US"/>
              </w:rPr>
            </w:pPr>
            <w:r w:rsidRPr="00921944">
              <w:rPr>
                <w:bCs/>
                <w:color w:val="auto"/>
                <w:sz w:val="18"/>
                <w:szCs w:val="18"/>
                <w:lang w:val="en-US"/>
              </w:rPr>
              <w:t>1</w:t>
            </w:r>
            <w:r w:rsidR="007A1DBD">
              <w:rPr>
                <w:bCs/>
                <w:color w:val="auto"/>
                <w:sz w:val="18"/>
                <w:szCs w:val="18"/>
                <w:lang w:val="en-US"/>
              </w:rPr>
              <w:t>3</w:t>
            </w:r>
            <w:r w:rsidRPr="00921944">
              <w:rPr>
                <w:bCs/>
                <w:color w:val="auto"/>
                <w:sz w:val="18"/>
                <w:szCs w:val="18"/>
                <w:lang w:val="en-US"/>
              </w:rPr>
              <w:t>.</w:t>
            </w:r>
          </w:p>
        </w:tc>
        <w:tc>
          <w:tcPr>
            <w:tcW w:w="3396" w:type="dxa"/>
            <w:shd w:val="clear" w:color="auto" w:fill="auto"/>
          </w:tcPr>
          <w:p w14:paraId="33262A3E"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color w:val="auto"/>
                <w:sz w:val="18"/>
                <w:szCs w:val="18"/>
                <w:lang w:val="en-US"/>
              </w:rPr>
            </w:pPr>
            <w:r w:rsidRPr="00921944">
              <w:rPr>
                <w:b/>
                <w:color w:val="auto"/>
                <w:sz w:val="18"/>
                <w:szCs w:val="18"/>
                <w:lang w:val="en-US"/>
              </w:rPr>
              <w:t>Manilla Solar Project and Renewable Energy Storage Project</w:t>
            </w:r>
          </w:p>
          <w:p w14:paraId="0FE3B7C4" w14:textId="77777777" w:rsidR="00BF0D8C"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The Manila project will utilize proprietary H</w:t>
            </w:r>
            <w:r w:rsidRPr="00921944">
              <w:rPr>
                <w:bCs/>
                <w:color w:val="auto"/>
                <w:sz w:val="18"/>
                <w:szCs w:val="18"/>
                <w:vertAlign w:val="subscript"/>
                <w:lang w:val="en-US"/>
              </w:rPr>
              <w:t>2</w:t>
            </w:r>
            <w:r w:rsidRPr="00921944">
              <w:rPr>
                <w:bCs/>
                <w:color w:val="auto"/>
                <w:sz w:val="18"/>
                <w:szCs w:val="18"/>
                <w:lang w:val="en-US"/>
              </w:rPr>
              <w:t xml:space="preserve"> storage technology (metal hydrides) developed at UNSW as a means of storing solar energy in the form of hydrogen. </w:t>
            </w:r>
          </w:p>
          <w:p w14:paraId="67389220" w14:textId="39893254" w:rsidR="00BF0D8C"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The project consists of a 4.</w:t>
            </w:r>
            <w:r>
              <w:rPr>
                <w:bCs/>
                <w:color w:val="auto"/>
                <w:sz w:val="18"/>
                <w:szCs w:val="18"/>
                <w:lang w:val="en-US"/>
              </w:rPr>
              <w:t>9</w:t>
            </w:r>
            <w:r w:rsidRPr="00921944">
              <w:rPr>
                <w:bCs/>
                <w:color w:val="auto"/>
                <w:sz w:val="18"/>
                <w:szCs w:val="18"/>
                <w:lang w:val="en-US"/>
              </w:rPr>
              <w:t>5 MW solar farm, battery storage</w:t>
            </w:r>
            <w:r>
              <w:rPr>
                <w:bCs/>
                <w:color w:val="auto"/>
                <w:sz w:val="18"/>
                <w:szCs w:val="18"/>
                <w:lang w:val="en-US"/>
              </w:rPr>
              <w:t xml:space="preserve"> (4.5 MW/45 MWh),</w:t>
            </w:r>
            <w:r w:rsidRPr="00921944">
              <w:rPr>
                <w:bCs/>
                <w:color w:val="auto"/>
                <w:sz w:val="18"/>
                <w:szCs w:val="18"/>
                <w:lang w:val="en-US"/>
              </w:rPr>
              <w:t xml:space="preserve"> and UNSW’s H2store </w:t>
            </w:r>
            <w:r w:rsidRPr="00921944">
              <w:rPr>
                <w:bCs/>
                <w:color w:val="auto"/>
                <w:sz w:val="18"/>
                <w:szCs w:val="18"/>
                <w:lang w:val="en-US"/>
              </w:rPr>
              <w:lastRenderedPageBreak/>
              <w:t>technology</w:t>
            </w:r>
            <w:r>
              <w:rPr>
                <w:bCs/>
                <w:color w:val="auto"/>
                <w:sz w:val="18"/>
                <w:szCs w:val="18"/>
                <w:lang w:val="en-US"/>
              </w:rPr>
              <w:t xml:space="preserve"> (2 MW/17 MWh)</w:t>
            </w:r>
            <w:r w:rsidRPr="00921944">
              <w:rPr>
                <w:bCs/>
                <w:color w:val="auto"/>
                <w:sz w:val="18"/>
                <w:szCs w:val="18"/>
                <w:lang w:val="en-US"/>
              </w:rPr>
              <w:t>. The</w:t>
            </w:r>
            <w:r>
              <w:rPr>
                <w:bCs/>
                <w:color w:val="auto"/>
                <w:sz w:val="18"/>
                <w:szCs w:val="18"/>
                <w:lang w:val="en-US"/>
              </w:rPr>
              <w:t xml:space="preserve"> hydrogen</w:t>
            </w:r>
            <w:r w:rsidRPr="00921944">
              <w:rPr>
                <w:bCs/>
                <w:color w:val="auto"/>
                <w:sz w:val="18"/>
                <w:szCs w:val="18"/>
                <w:lang w:val="en-US"/>
              </w:rPr>
              <w:t xml:space="preserve"> system </w:t>
            </w:r>
            <w:r>
              <w:rPr>
                <w:bCs/>
                <w:color w:val="auto"/>
                <w:sz w:val="18"/>
                <w:szCs w:val="18"/>
                <w:lang w:val="en-US"/>
              </w:rPr>
              <w:t xml:space="preserve">on its own </w:t>
            </w:r>
            <w:r w:rsidRPr="00921944">
              <w:rPr>
                <w:bCs/>
                <w:color w:val="auto"/>
                <w:sz w:val="18"/>
                <w:szCs w:val="18"/>
                <w:lang w:val="en-US"/>
              </w:rPr>
              <w:t xml:space="preserve">will enable 6 to 7 hours of energy storage for reconversion. </w:t>
            </w:r>
          </w:p>
          <w:p w14:paraId="5A2F6922" w14:textId="7D23EA30" w:rsidR="00BF0D8C" w:rsidRPr="00921944"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The project was granted A$3.5 million in grant funding by the NSW government under the Regional Community Energy Program.</w:t>
            </w:r>
            <w:r w:rsidRPr="00921944">
              <w:rPr>
                <w:bCs/>
                <w:color w:val="auto"/>
                <w:sz w:val="18"/>
                <w:szCs w:val="18"/>
                <w:lang w:val="en-US"/>
              </w:rPr>
              <w:fldChar w:fldCharType="begin" w:fldLock="1"/>
            </w:r>
            <w:r w:rsidR="00D21B34">
              <w:rPr>
                <w:bCs/>
                <w:color w:val="auto"/>
                <w:sz w:val="18"/>
                <w:szCs w:val="18"/>
                <w:lang w:val="en-US"/>
              </w:rPr>
              <w:instrText>ADDIN CSL_CITATION {"citationItems":[{"id":"ITEM-1","itemData":{"URL":"https://reneweconomy.com.au/regional-nsw-town-to-host-large-scale-hydrogen-energy-storage-project-states-first-79334/","accessed":{"date-parts":[["2021","4","19"]]},"author":[{"dropping-particle":"","family":"Mazengarb","given":"Michael","non-dropping-particle":"","parse-names":false,"suffix":""}],"container-title":"RenewEconomy","id":"ITEM-1","issued":{"date-parts":[["2020","3","11"]]},"title":"Regional NSW town to host large-scale hydrogen energy storage project – state's first ","type":"webpage"},"uris":["http://www.mendeley.com/documents/?uuid=bf46fcc6-1d33-3555-af13-5ff2b65376b3"]}],"mendeley":{"formattedCitation":"&lt;sup&gt;30&lt;/sup&gt;","plainTextFormattedCitation":"30","previouslyFormattedCitation":"&lt;sup&gt;30&lt;/sup&gt;"},"properties":{"noteIndex":0},"schema":"https://github.com/citation-style-language/schema/raw/master/csl-citation.json"}</w:instrText>
            </w:r>
            <w:r w:rsidRPr="00921944">
              <w:rPr>
                <w:bCs/>
                <w:color w:val="auto"/>
                <w:sz w:val="18"/>
                <w:szCs w:val="18"/>
                <w:lang w:val="en-US"/>
              </w:rPr>
              <w:fldChar w:fldCharType="separate"/>
            </w:r>
            <w:r w:rsidR="00C3381F" w:rsidRPr="00C3381F">
              <w:rPr>
                <w:bCs/>
                <w:noProof/>
                <w:color w:val="auto"/>
                <w:sz w:val="18"/>
                <w:szCs w:val="18"/>
                <w:vertAlign w:val="superscript"/>
                <w:lang w:val="en-US"/>
              </w:rPr>
              <w:t>30</w:t>
            </w:r>
            <w:r w:rsidRPr="00921944">
              <w:rPr>
                <w:bCs/>
                <w:color w:val="auto"/>
                <w:sz w:val="18"/>
                <w:szCs w:val="18"/>
                <w:lang w:val="en-US"/>
              </w:rPr>
              <w:fldChar w:fldCharType="end"/>
            </w:r>
            <w:r w:rsidRPr="00921944">
              <w:rPr>
                <w:bCs/>
                <w:color w:val="auto"/>
                <w:sz w:val="18"/>
                <w:szCs w:val="18"/>
                <w:lang w:val="en-US"/>
              </w:rPr>
              <w:t xml:space="preserve"> The project is expected to cost </w:t>
            </w:r>
            <w:r>
              <w:rPr>
                <w:bCs/>
                <w:color w:val="auto"/>
                <w:sz w:val="18"/>
                <w:szCs w:val="18"/>
                <w:lang w:val="en-US"/>
              </w:rPr>
              <w:t>A</w:t>
            </w:r>
            <w:r w:rsidRPr="00921944">
              <w:rPr>
                <w:bCs/>
                <w:color w:val="auto"/>
                <w:sz w:val="18"/>
                <w:szCs w:val="18"/>
                <w:lang w:val="en-US"/>
              </w:rPr>
              <w:t>$7.3 million.</w:t>
            </w:r>
          </w:p>
        </w:tc>
        <w:tc>
          <w:tcPr>
            <w:tcW w:w="1377" w:type="dxa"/>
            <w:shd w:val="clear" w:color="auto" w:fill="auto"/>
          </w:tcPr>
          <w:p w14:paraId="67E12AAB"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lastRenderedPageBreak/>
              <w:t xml:space="preserve">Manilla, </w:t>
            </w:r>
          </w:p>
          <w:p w14:paraId="442EE2D9"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NSW</w:t>
            </w:r>
          </w:p>
        </w:tc>
        <w:tc>
          <w:tcPr>
            <w:tcW w:w="2059" w:type="dxa"/>
            <w:shd w:val="clear" w:color="auto" w:fill="auto"/>
          </w:tcPr>
          <w:p w14:paraId="55C17AEB"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N.A.</w:t>
            </w:r>
          </w:p>
        </w:tc>
        <w:tc>
          <w:tcPr>
            <w:tcW w:w="2064" w:type="dxa"/>
            <w:shd w:val="clear" w:color="auto" w:fill="auto"/>
          </w:tcPr>
          <w:p w14:paraId="7A956C46"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sidRPr="00921944">
              <w:rPr>
                <w:bCs/>
                <w:color w:val="auto"/>
                <w:sz w:val="18"/>
                <w:szCs w:val="18"/>
                <w:lang w:val="en-US"/>
              </w:rPr>
              <w:t>Demonstration Facility</w:t>
            </w:r>
          </w:p>
        </w:tc>
        <w:tc>
          <w:tcPr>
            <w:tcW w:w="1388" w:type="dxa"/>
            <w:shd w:val="clear" w:color="auto" w:fill="auto"/>
          </w:tcPr>
          <w:p w14:paraId="5167B0A4" w14:textId="04B181C2"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b/>
                <w:color w:val="auto"/>
                <w:sz w:val="18"/>
                <w:szCs w:val="18"/>
                <w:lang w:val="en-US"/>
              </w:rPr>
            </w:pPr>
            <w:r>
              <w:rPr>
                <w:noProof/>
              </w:rPr>
              <w:drawing>
                <wp:inline distT="0" distB="0" distL="0" distR="0" wp14:anchorId="24E738E5" wp14:editId="67DF2765">
                  <wp:extent cx="461882" cy="477078"/>
                  <wp:effectExtent l="0" t="0" r="0" b="0"/>
                  <wp:docPr id="99" name="Picture 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auto"/>
          </w:tcPr>
          <w:p w14:paraId="11F05D1F"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color w:val="auto"/>
                <w:sz w:val="18"/>
                <w:szCs w:val="18"/>
                <w:lang w:val="en-US"/>
              </w:rPr>
            </w:pPr>
          </w:p>
        </w:tc>
        <w:tc>
          <w:tcPr>
            <w:tcW w:w="2801" w:type="dxa"/>
            <w:shd w:val="clear" w:color="auto" w:fill="auto"/>
          </w:tcPr>
          <w:p w14:paraId="1D7379EF"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In advanced stage of development</w:t>
            </w:r>
            <w:r>
              <w:rPr>
                <w:color w:val="auto"/>
                <w:sz w:val="18"/>
                <w:szCs w:val="18"/>
                <w:lang w:val="en-US"/>
              </w:rPr>
              <w:t>.</w:t>
            </w:r>
          </w:p>
          <w:p w14:paraId="58B0B53A" w14:textId="77777777"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p w14:paraId="4D31240F" w14:textId="3C2D4F01"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tc>
      </w:tr>
      <w:tr w:rsidR="007A1DBD" w:rsidRPr="00921944" w14:paraId="6720F02D" w14:textId="77777777" w:rsidTr="007A1D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6EDA65E0" w14:textId="16CB3E2E" w:rsidR="00BF0D8C" w:rsidRPr="00921944" w:rsidRDefault="00BF0D8C" w:rsidP="00BF0D8C">
            <w:pPr>
              <w:pStyle w:val="ListParagraph"/>
              <w:ind w:left="0"/>
              <w:contextualSpacing w:val="0"/>
              <w:rPr>
                <w:bCs/>
                <w:sz w:val="18"/>
                <w:szCs w:val="18"/>
                <w:lang w:val="en-US"/>
              </w:rPr>
            </w:pPr>
            <w:r w:rsidRPr="00921944">
              <w:rPr>
                <w:bCs/>
                <w:sz w:val="18"/>
                <w:szCs w:val="18"/>
                <w:lang w:val="en-US"/>
              </w:rPr>
              <w:t>1</w:t>
            </w:r>
            <w:r w:rsidR="007A1DBD">
              <w:rPr>
                <w:bCs/>
                <w:sz w:val="18"/>
                <w:szCs w:val="18"/>
                <w:lang w:val="en-US"/>
              </w:rPr>
              <w:t>4</w:t>
            </w:r>
            <w:r w:rsidRPr="00921944">
              <w:rPr>
                <w:bCs/>
                <w:sz w:val="18"/>
                <w:szCs w:val="18"/>
                <w:lang w:val="en-US"/>
              </w:rPr>
              <w:t>.</w:t>
            </w:r>
          </w:p>
        </w:tc>
        <w:tc>
          <w:tcPr>
            <w:tcW w:w="3396" w:type="dxa"/>
            <w:shd w:val="clear" w:color="auto" w:fill="FFFFFF" w:themeFill="background1"/>
          </w:tcPr>
          <w:p w14:paraId="4B834294"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rPr>
            </w:pPr>
            <w:r w:rsidRPr="00921944">
              <w:rPr>
                <w:b/>
                <w:bCs/>
                <w:sz w:val="18"/>
                <w:szCs w:val="18"/>
              </w:rPr>
              <w:t>Project NEO – (Infinite Blue Energy)</w:t>
            </w:r>
          </w:p>
          <w:p w14:paraId="56E310F6" w14:textId="77777777" w:rsidR="00BF0D8C" w:rsidRDefault="00BF0D8C" w:rsidP="00BF0D8C">
            <w:pPr>
              <w:pStyle w:val="ListParagraph"/>
              <w:spacing w:before="240" w:after="120"/>
              <w:ind w:left="0" w:right="78"/>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Infinite Blue Energy has developed plans to develop 1 GW of hydrogen-based electricity to provide NSW’s baseload power using solar, wind turbines and hydrogen fuel cells. </w:t>
            </w:r>
          </w:p>
          <w:p w14:paraId="059DF984" w14:textId="71572682" w:rsidR="00BF0D8C" w:rsidRPr="00921944" w:rsidRDefault="00BF0D8C" w:rsidP="00BF0D8C">
            <w:pPr>
              <w:pStyle w:val="ListParagraph"/>
              <w:spacing w:before="240" w:after="120"/>
              <w:ind w:left="0" w:right="78"/>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facility is planned to be complete by 2027 in NSW’s </w:t>
            </w:r>
            <w:r>
              <w:rPr>
                <w:sz w:val="18"/>
                <w:szCs w:val="18"/>
                <w:lang w:val="en-US"/>
              </w:rPr>
              <w:t>H</w:t>
            </w:r>
            <w:r w:rsidRPr="00921944">
              <w:rPr>
                <w:sz w:val="18"/>
                <w:szCs w:val="18"/>
                <w:lang w:val="en-US"/>
              </w:rPr>
              <w:t>unter region at a cost of A$2.7 billion.</w:t>
            </w:r>
            <w:r w:rsidRPr="00921944">
              <w:rPr>
                <w:sz w:val="18"/>
                <w:szCs w:val="18"/>
                <w:lang w:val="en-US"/>
              </w:rPr>
              <w:fldChar w:fldCharType="begin" w:fldLock="1"/>
            </w:r>
            <w:r w:rsidR="00D21B34">
              <w:rPr>
                <w:sz w:val="18"/>
                <w:szCs w:val="18"/>
                <w:lang w:val="en-US"/>
              </w:rPr>
              <w:instrText>ADDIN CSL_CITATION {"citationItems":[{"id":"ITEM-1","itemData":{"URL":"https://infiniteblueenergy.com/project/project-neo-coming-soon/","accessed":{"date-parts":[["2021","3","23"]]},"author":[{"dropping-particle":"","family":"Infinite Blue Energy","given":"","non-dropping-particle":"","parse-names":false,"suffix":""}],"id":"ITEM-1","issued":{"date-parts":[["0"]]},"title":"Project NEO 1 GW Baseload","type":"webpage"},"uris":["http://www.mendeley.com/documents/?uuid=3efc15c0-5408-43a7-8c88-48e64309f820"]},{"id":"ITEM-2","itemData":{"URL":"https://www.energylivenews.com/2020/05/22/new-south-wales-to-transition-to-100-green-hydrogen-electricity/","accessed":{"date-parts":[["2021","7","23"]]},"author":[{"dropping-particle":"","family":"Dabas","given":"Chhaya","non-dropping-particle":"","parse-names":false,"suffix":""}],"container-title":"Energy Live News","id":"ITEM-2","issued":{"date-parts":[["2020","5","22"]]},"title":"New South Wales to transition to 100% green hydrogen electricity ","type":"webpage"},"uris":["http://www.mendeley.com/documents/?uuid=90ff79c2-cfda-390f-a8a5-9267683af076"]}],"mendeley":{"formattedCitation":"&lt;sup&gt;31,32&lt;/sup&gt;","plainTextFormattedCitation":"31,32","previouslyFormattedCitation":"&lt;sup&gt;31,32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31,32</w:t>
            </w:r>
            <w:r w:rsidRPr="00921944">
              <w:rPr>
                <w:sz w:val="18"/>
                <w:szCs w:val="18"/>
                <w:lang w:val="en-US"/>
              </w:rPr>
              <w:fldChar w:fldCharType="end"/>
            </w:r>
          </w:p>
        </w:tc>
        <w:tc>
          <w:tcPr>
            <w:tcW w:w="1377" w:type="dxa"/>
            <w:shd w:val="clear" w:color="auto" w:fill="auto"/>
          </w:tcPr>
          <w:p w14:paraId="1879F6F3"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Hunter Valley, NSW</w:t>
            </w:r>
          </w:p>
          <w:p w14:paraId="1A039262"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tc>
        <w:tc>
          <w:tcPr>
            <w:tcW w:w="2059" w:type="dxa"/>
            <w:shd w:val="clear" w:color="auto" w:fill="auto"/>
          </w:tcPr>
          <w:p w14:paraId="161385BB" w14:textId="5B8DCEE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1,000 MW</w:t>
            </w:r>
            <w:r>
              <w:rPr>
                <w:sz w:val="18"/>
                <w:szCs w:val="18"/>
                <w:lang w:val="en-US"/>
              </w:rPr>
              <w:t xml:space="preserve"> of green </w:t>
            </w:r>
            <w:proofErr w:type="gramStart"/>
            <w:r>
              <w:rPr>
                <w:sz w:val="18"/>
                <w:szCs w:val="18"/>
                <w:lang w:val="en-US"/>
              </w:rPr>
              <w:t>hydrogen based</w:t>
            </w:r>
            <w:proofErr w:type="gramEnd"/>
            <w:r>
              <w:rPr>
                <w:sz w:val="18"/>
                <w:szCs w:val="18"/>
                <w:lang w:val="en-US"/>
              </w:rPr>
              <w:t xml:space="preserve"> electricity</w:t>
            </w:r>
          </w:p>
          <w:p w14:paraId="05FE1F65"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tc>
        <w:tc>
          <w:tcPr>
            <w:tcW w:w="2064" w:type="dxa"/>
            <w:shd w:val="clear" w:color="auto" w:fill="auto"/>
          </w:tcPr>
          <w:p w14:paraId="01070B9C"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Prefeasibility Study</w:t>
            </w:r>
          </w:p>
        </w:tc>
        <w:tc>
          <w:tcPr>
            <w:tcW w:w="1388" w:type="dxa"/>
            <w:shd w:val="clear" w:color="auto" w:fill="auto"/>
          </w:tcPr>
          <w:p w14:paraId="06550FB4" w14:textId="16E1141A" w:rsidR="00BF0D8C" w:rsidRPr="00921944" w:rsidRDefault="00BF0D8C" w:rsidP="00BF0D8C">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6D062EA9" wp14:editId="16216EB8">
                  <wp:extent cx="461882" cy="477078"/>
                  <wp:effectExtent l="0" t="0" r="0" b="0"/>
                  <wp:docPr id="100" name="Picture 1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auto"/>
          </w:tcPr>
          <w:p w14:paraId="0848306E" w14:textId="77777777"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noProof/>
                <w:sz w:val="18"/>
                <w:szCs w:val="18"/>
                <w:lang w:val="en-US"/>
              </w:rPr>
            </w:pPr>
          </w:p>
        </w:tc>
        <w:tc>
          <w:tcPr>
            <w:tcW w:w="2801" w:type="dxa"/>
            <w:shd w:val="clear" w:color="auto" w:fill="auto"/>
          </w:tcPr>
          <w:p w14:paraId="5476A83C" w14:textId="4013D883" w:rsidR="00BF0D8C" w:rsidRPr="00921944" w:rsidRDefault="00BF0D8C" w:rsidP="00BF0D8C">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Early </w:t>
            </w:r>
            <w:r>
              <w:rPr>
                <w:sz w:val="18"/>
                <w:szCs w:val="18"/>
                <w:lang w:val="en-US"/>
              </w:rPr>
              <w:t xml:space="preserve">stage of </w:t>
            </w:r>
            <w:r w:rsidRPr="00921944">
              <w:rPr>
                <w:sz w:val="18"/>
                <w:szCs w:val="18"/>
                <w:lang w:val="en-US"/>
              </w:rPr>
              <w:t>development</w:t>
            </w:r>
            <w:r>
              <w:rPr>
                <w:sz w:val="18"/>
                <w:szCs w:val="18"/>
                <w:lang w:val="en-US"/>
              </w:rPr>
              <w:t>.</w:t>
            </w:r>
          </w:p>
        </w:tc>
      </w:tr>
      <w:tr w:rsidR="00BF0D8C" w:rsidRPr="00921944" w14:paraId="65C58748" w14:textId="77777777" w:rsidTr="007A1DBD">
        <w:tc>
          <w:tcPr>
            <w:cnfStyle w:val="001000000000" w:firstRow="0" w:lastRow="0" w:firstColumn="1" w:lastColumn="0" w:oddVBand="0" w:evenVBand="0" w:oddHBand="0" w:evenHBand="0" w:firstRowFirstColumn="0" w:firstRowLastColumn="0" w:lastRowFirstColumn="0" w:lastRowLastColumn="0"/>
            <w:tcW w:w="556" w:type="dxa"/>
          </w:tcPr>
          <w:p w14:paraId="75AACD5B" w14:textId="126BB774" w:rsidR="00BF0D8C" w:rsidRPr="00921944" w:rsidRDefault="00BF0D8C" w:rsidP="00BF0D8C">
            <w:pPr>
              <w:pStyle w:val="ListParagraph"/>
              <w:ind w:left="0"/>
              <w:contextualSpacing w:val="0"/>
              <w:rPr>
                <w:bCs/>
                <w:sz w:val="18"/>
                <w:szCs w:val="18"/>
                <w:lang w:val="en-US"/>
              </w:rPr>
            </w:pPr>
            <w:r w:rsidRPr="00921944">
              <w:rPr>
                <w:bCs/>
                <w:sz w:val="18"/>
                <w:szCs w:val="18"/>
                <w:lang w:val="en-US"/>
              </w:rPr>
              <w:t>1</w:t>
            </w:r>
            <w:r w:rsidR="007A1DBD">
              <w:rPr>
                <w:bCs/>
                <w:sz w:val="18"/>
                <w:szCs w:val="18"/>
                <w:lang w:val="en-US"/>
              </w:rPr>
              <w:t>5</w:t>
            </w:r>
            <w:r w:rsidRPr="00921944">
              <w:rPr>
                <w:bCs/>
                <w:sz w:val="18"/>
                <w:szCs w:val="18"/>
                <w:lang w:val="en-US"/>
              </w:rPr>
              <w:t>.</w:t>
            </w:r>
          </w:p>
        </w:tc>
        <w:tc>
          <w:tcPr>
            <w:tcW w:w="3396" w:type="dxa"/>
            <w:shd w:val="clear" w:color="auto" w:fill="auto"/>
          </w:tcPr>
          <w:p w14:paraId="34950230"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rPr>
            </w:pPr>
            <w:r w:rsidRPr="00921944">
              <w:rPr>
                <w:b/>
                <w:bCs/>
                <w:sz w:val="18"/>
                <w:szCs w:val="18"/>
              </w:rPr>
              <w:t>Western Sydney Green Gas Project</w:t>
            </w:r>
          </w:p>
          <w:p w14:paraId="52B4FD42" w14:textId="29BD2888" w:rsidR="00BF0D8C"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bCs/>
                <w:sz w:val="18"/>
                <w:szCs w:val="18"/>
                <w:lang w:val="en-GB"/>
              </w:rPr>
            </w:pPr>
            <w:r w:rsidRPr="00921944">
              <w:rPr>
                <w:bCs/>
                <w:sz w:val="18"/>
                <w:szCs w:val="18"/>
                <w:lang w:val="en-GB"/>
              </w:rPr>
              <w:t xml:space="preserve">Jemena in combination with ARENA for the Western Sydney Green Gas Project will be using 500 kW PEM electrolysers to produce approximately </w:t>
            </w:r>
            <w:r>
              <w:rPr>
                <w:bCs/>
                <w:sz w:val="18"/>
                <w:szCs w:val="18"/>
                <w:lang w:val="en-GB"/>
              </w:rPr>
              <w:t xml:space="preserve">53 </w:t>
            </w:r>
            <w:proofErr w:type="spellStart"/>
            <w:r>
              <w:rPr>
                <w:bCs/>
                <w:sz w:val="18"/>
                <w:szCs w:val="18"/>
                <w:lang w:val="en-GB"/>
              </w:rPr>
              <w:t>tpa</w:t>
            </w:r>
            <w:proofErr w:type="spellEnd"/>
            <w:r>
              <w:rPr>
                <w:bCs/>
                <w:sz w:val="18"/>
                <w:szCs w:val="18"/>
                <w:lang w:val="en-GB"/>
              </w:rPr>
              <w:t>/</w:t>
            </w:r>
            <w:r w:rsidRPr="00921944">
              <w:rPr>
                <w:bCs/>
                <w:sz w:val="18"/>
                <w:szCs w:val="18"/>
                <w:lang w:val="en-GB"/>
              </w:rPr>
              <w:t>100 Nm</w:t>
            </w:r>
            <w:r w:rsidRPr="00921944">
              <w:rPr>
                <w:bCs/>
                <w:sz w:val="18"/>
                <w:szCs w:val="18"/>
                <w:vertAlign w:val="superscript"/>
                <w:lang w:val="en-GB"/>
              </w:rPr>
              <w:t>3</w:t>
            </w:r>
            <w:r w:rsidRPr="00921944">
              <w:rPr>
                <w:bCs/>
                <w:sz w:val="18"/>
                <w:szCs w:val="18"/>
                <w:lang w:val="en-GB"/>
              </w:rPr>
              <w:t xml:space="preserve"> h</w:t>
            </w:r>
            <w:r w:rsidRPr="00921944">
              <w:rPr>
                <w:bCs/>
                <w:sz w:val="18"/>
                <w:szCs w:val="18"/>
                <w:vertAlign w:val="superscript"/>
                <w:lang w:val="en-GB"/>
              </w:rPr>
              <w:t>-1</w:t>
            </w:r>
            <w:r w:rsidRPr="00921944">
              <w:rPr>
                <w:bCs/>
                <w:sz w:val="18"/>
                <w:szCs w:val="18"/>
                <w:lang w:val="en-GB"/>
              </w:rPr>
              <w:t xml:space="preserve"> of hydrogen using Cummins technology.</w:t>
            </w:r>
            <w:r w:rsidRPr="00921944">
              <w:rPr>
                <w:bCs/>
                <w:sz w:val="18"/>
                <w:szCs w:val="18"/>
                <w:lang w:val="en-GB"/>
              </w:rPr>
              <w:fldChar w:fldCharType="begin" w:fldLock="1"/>
            </w:r>
            <w:r w:rsidR="00D21B34">
              <w:rPr>
                <w:bCs/>
                <w:sz w:val="18"/>
                <w:szCs w:val="18"/>
                <w:lang w:val="en-GB"/>
              </w:rPr>
              <w:instrText>ADDIN CSL_CITATION {"citationItems":[{"id":"ITEM-1","itemData":{"id":"ITEM-1","issued":{"date-parts":[["0"]]},"title":"Jemena's Western Sydney Green Gas Project - Jemena","type":"webpage"},"uris":["http://www.mendeley.com/documents/?uuid=6312eb62-29c7-3e9f-a8ec-ffb41b2902ec","http://www.mendeley.com/documents/?uuid=720b7409-5d41-4d95-94d9-fc5092326d50","http://www.mendeley.com/documents/?uuid=f1415211-67d7-4396-b32b-76a9f34613f5"]},{"id":"ITEM-2","itemData":{"id":"ITEM-2","issued":{"date-parts":[["0"]]},"title":"The future of hydrogen: how</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to</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build</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an</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electrolyser</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 Energy Magazine","type":"webpage"},"uris":["http://www.mendeley.com/documents/?uuid=a064b708-6677-3064-bc74-76733e3cea85","http://www.mendeley.com/documents/?uuid=2394c4ef-1875-4d1d-a670-63e870eea14c","http://www.mendeley.com/documents/?uuid=b61088ef-bcd0-487f-abb0-b482942e0b3c"]},{"id":"ITEM-3","itemData":{"URL":"https://research.csiro.au/hyresource/western-sydney-green-gas-project/","accessed":{"date-parts":[["2021","7","28"]]},"author":[{"dropping-particle":"","family":"CSIRO","given":"","non-dropping-particle":"","parse-names":false,"suffix":""}],"container-title":"HyResource","id":"ITEM-3","issued":{"date-parts":[["2020"]]},"title":"Western Sydney Green Gas Project ","type":"webpage"},"uris":["http://www.mendeley.com/documents/?uuid=71b3e11b-c7cf-3f73-bd75-2ceac1227629"]}],"mendeley":{"formattedCitation":"&lt;sup&gt;33–35&lt;/sup&gt;","plainTextFormattedCitation":"33–35","previouslyFormattedCitation":"&lt;sup&gt;33–35&lt;/sup&gt;"},"properties":{"noteIndex":0},"schema":"https://github.com/citation-style-language/schema/raw/master/csl-citation.json"}</w:instrText>
            </w:r>
            <w:r w:rsidRPr="00921944">
              <w:rPr>
                <w:bCs/>
                <w:sz w:val="18"/>
                <w:szCs w:val="18"/>
                <w:lang w:val="en-GB"/>
              </w:rPr>
              <w:fldChar w:fldCharType="separate"/>
            </w:r>
            <w:r w:rsidR="00C3381F" w:rsidRPr="00C3381F">
              <w:rPr>
                <w:bCs/>
                <w:noProof/>
                <w:sz w:val="18"/>
                <w:szCs w:val="18"/>
                <w:vertAlign w:val="superscript"/>
                <w:lang w:val="en-GB"/>
              </w:rPr>
              <w:t>33–35</w:t>
            </w:r>
            <w:r w:rsidRPr="00921944">
              <w:rPr>
                <w:sz w:val="18"/>
                <w:szCs w:val="18"/>
              </w:rPr>
              <w:fldChar w:fldCharType="end"/>
            </w:r>
            <w:r w:rsidRPr="00921944">
              <w:rPr>
                <w:bCs/>
                <w:sz w:val="18"/>
                <w:szCs w:val="18"/>
                <w:lang w:val="en-GB"/>
              </w:rPr>
              <w:t xml:space="preserve"> </w:t>
            </w:r>
          </w:p>
          <w:p w14:paraId="5381B517" w14:textId="0AE4E73D" w:rsidR="00BF0D8C" w:rsidRPr="00921944" w:rsidRDefault="00BF0D8C" w:rsidP="00BF0D8C">
            <w:pPr>
              <w:pStyle w:val="ListParagraph"/>
              <w:spacing w:before="240" w:after="120"/>
              <w:ind w:left="0" w:right="78"/>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bCs/>
                <w:sz w:val="18"/>
                <w:szCs w:val="18"/>
                <w:lang w:val="en-GB"/>
              </w:rPr>
              <w:t xml:space="preserve">This is a demonstration project, costing </w:t>
            </w:r>
            <w:r>
              <w:rPr>
                <w:bCs/>
                <w:sz w:val="18"/>
                <w:szCs w:val="18"/>
                <w:lang w:val="en-GB"/>
              </w:rPr>
              <w:t>A</w:t>
            </w:r>
            <w:r w:rsidRPr="00921944">
              <w:rPr>
                <w:bCs/>
                <w:sz w:val="18"/>
                <w:szCs w:val="18"/>
                <w:lang w:val="en-GB"/>
              </w:rPr>
              <w:t xml:space="preserve">$15 million. </w:t>
            </w:r>
            <w:r w:rsidRPr="00921944">
              <w:rPr>
                <w:bCs/>
                <w:sz w:val="18"/>
                <w:szCs w:val="18"/>
                <w:lang w:val="en-GB"/>
              </w:rPr>
              <w:fldChar w:fldCharType="begin" w:fldLock="1"/>
            </w:r>
            <w:r w:rsidR="00D21B34">
              <w:rPr>
                <w:bCs/>
                <w:sz w:val="18"/>
                <w:szCs w:val="18"/>
                <w:lang w:val="en-GB"/>
              </w:rPr>
              <w:instrText>ADDIN CSL_CITATION {"citationItems":[{"id":"ITEM-1","itemData":{"id":"ITEM-1","issued":{"date-parts":[["0"]]},"title":"Jemena's Western Sydney Green Gas Project - Jemena","type":"webpage"},"uris":["http://www.mendeley.com/documents/?uuid=6312eb62-29c7-3e9f-a8ec-ffb41b2902ec","http://www.mendeley.com/documents/?uuid=720b7409-5d41-4d95-94d9-fc5092326d50","http://www.mendeley.com/documents/?uuid=f1415211-67d7-4396-b32b-76a9f34613f5"]},{"id":"ITEM-2","itemData":{"id":"ITEM-2","issued":{"date-parts":[["0"]]},"title":"The future of hydrogen: how</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to</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build</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an</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w:instrText>
            </w:r>
            <w:r w:rsidR="00D21B34">
              <w:rPr>
                <w:rFonts w:ascii="Times New Roman" w:hAnsi="Times New Roman" w:cs="Times New Roman"/>
                <w:bCs/>
                <w:sz w:val="18"/>
                <w:szCs w:val="18"/>
                <w:lang w:val="en-GB"/>
              </w:rPr>
              <w:instrText>‌</w:instrText>
            </w:r>
            <w:r w:rsidR="00D21B34">
              <w:rPr>
                <w:bCs/>
                <w:sz w:val="18"/>
                <w:szCs w:val="18"/>
                <w:lang w:val="en-GB"/>
              </w:rPr>
              <w:instrText>electrolyser</w:instrText>
            </w:r>
            <w:r w:rsidR="00D21B34">
              <w:rPr>
                <w:rFonts w:ascii="Times New Roman" w:hAnsi="Times New Roman" w:cs="Times New Roman"/>
                <w:bCs/>
                <w:sz w:val="18"/>
                <w:szCs w:val="18"/>
                <w:lang w:val="en-GB"/>
              </w:rPr>
              <w:instrText>‌</w:instrText>
            </w:r>
            <w:r w:rsidR="00D21B34">
              <w:rPr>
                <w:bCs/>
                <w:sz w:val="18"/>
                <w:szCs w:val="18"/>
                <w:lang w:val="en-GB"/>
              </w:rPr>
              <w:instrText xml:space="preserve"> | Energy Magazine","type":"webpage"},"uris":["http://www.mendeley.com/documents/?uuid=a064b708-6677-3064-bc74-76733e3cea85","http://www.mendeley.com/documents/?uuid=2394c4ef-1875-4d1d-a670-63e870eea14c","http://www.mendeley.com/documents/?uuid=b61088ef-bcd0-487f-abb0-b482942e0b3c"]},{"id":"ITEM-3","itemData":{"URL":"https://research.csiro.au/hyresource/western-sydney-green-gas-project/","accessed":{"date-parts":[["2021","7","28"]]},"author":[{"dropping-particle":"","family":"CSIRO","given":"","non-dropping-particle":"","parse-names":false,"suffix":""}],"container-title":"HyResource","id":"ITEM-3","issued":{"date-parts":[["2020"]]},"title":"Western Sydney Green Gas Project ","type":"webpage"},"uris":["http://www.mendeley.com/documents/?uuid=71b3e11b-c7cf-3f73-bd75-2ceac1227629"]}],"mendeley":{"formattedCitation":"&lt;sup&gt;33–35&lt;/sup&gt;","plainTextFormattedCitation":"33–35","previouslyFormattedCitation":"&lt;sup&gt;33–35&lt;/sup&gt;"},"properties":{"noteIndex":0},"schema":"https://github.com/citation-style-language/schema/raw/master/csl-citation.json"}</w:instrText>
            </w:r>
            <w:r w:rsidRPr="00921944">
              <w:rPr>
                <w:bCs/>
                <w:sz w:val="18"/>
                <w:szCs w:val="18"/>
                <w:lang w:val="en-GB"/>
              </w:rPr>
              <w:fldChar w:fldCharType="separate"/>
            </w:r>
            <w:r w:rsidR="00C3381F" w:rsidRPr="00C3381F">
              <w:rPr>
                <w:bCs/>
                <w:noProof/>
                <w:sz w:val="18"/>
                <w:szCs w:val="18"/>
                <w:vertAlign w:val="superscript"/>
                <w:lang w:val="en-GB"/>
              </w:rPr>
              <w:t>33–35</w:t>
            </w:r>
            <w:r w:rsidRPr="00921944">
              <w:rPr>
                <w:sz w:val="18"/>
                <w:szCs w:val="18"/>
              </w:rPr>
              <w:fldChar w:fldCharType="end"/>
            </w:r>
          </w:p>
        </w:tc>
        <w:tc>
          <w:tcPr>
            <w:tcW w:w="1377" w:type="dxa"/>
            <w:shd w:val="clear" w:color="auto" w:fill="auto"/>
          </w:tcPr>
          <w:p w14:paraId="320D2266"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Sydney, </w:t>
            </w:r>
          </w:p>
          <w:p w14:paraId="3CED843D"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NSW</w:t>
            </w:r>
          </w:p>
        </w:tc>
        <w:tc>
          <w:tcPr>
            <w:tcW w:w="2059" w:type="dxa"/>
            <w:shd w:val="clear" w:color="auto" w:fill="auto"/>
          </w:tcPr>
          <w:p w14:paraId="7EF6E230" w14:textId="2680702C" w:rsidR="00BF0D8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vertAlign w:val="subscript"/>
                <w:lang w:val="en-US"/>
              </w:rPr>
            </w:pPr>
            <w:r w:rsidRPr="00921944">
              <w:rPr>
                <w:sz w:val="18"/>
                <w:szCs w:val="18"/>
                <w:lang w:val="en-US"/>
              </w:rPr>
              <w:t>100 Nm</w:t>
            </w:r>
            <w:r w:rsidRPr="00921944">
              <w:rPr>
                <w:sz w:val="18"/>
                <w:szCs w:val="18"/>
                <w:vertAlign w:val="superscript"/>
                <w:lang w:val="en-US"/>
              </w:rPr>
              <w:t>3</w:t>
            </w:r>
            <w:r w:rsidRPr="00921944">
              <w:rPr>
                <w:sz w:val="18"/>
                <w:szCs w:val="18"/>
                <w:lang w:val="en-US"/>
              </w:rPr>
              <w:t xml:space="preserve"> h</w:t>
            </w:r>
            <w:r w:rsidRPr="00921944">
              <w:rPr>
                <w:sz w:val="18"/>
                <w:szCs w:val="18"/>
                <w:vertAlign w:val="superscript"/>
                <w:lang w:val="en-US"/>
              </w:rPr>
              <w:t>-1</w:t>
            </w:r>
            <w:r>
              <w:rPr>
                <w:sz w:val="18"/>
                <w:szCs w:val="18"/>
                <w:vertAlign w:val="superscript"/>
                <w:lang w:val="en-US"/>
              </w:rPr>
              <w:t xml:space="preserve"> </w:t>
            </w:r>
            <w:r>
              <w:rPr>
                <w:sz w:val="18"/>
                <w:szCs w:val="18"/>
                <w:lang w:val="en-US"/>
              </w:rPr>
              <w:t>of H</w:t>
            </w:r>
            <w:r w:rsidRPr="0065086C">
              <w:rPr>
                <w:sz w:val="18"/>
                <w:szCs w:val="18"/>
                <w:vertAlign w:val="subscript"/>
                <w:lang w:val="en-US"/>
              </w:rPr>
              <w:t>2</w:t>
            </w:r>
          </w:p>
          <w:p w14:paraId="285C031B" w14:textId="7118DA84" w:rsidR="00BF0D8C" w:rsidRPr="0065086C"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(500 kW)</w:t>
            </w:r>
          </w:p>
          <w:p w14:paraId="605036F5"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00594806"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shd w:val="clear" w:color="auto" w:fill="auto"/>
          </w:tcPr>
          <w:p w14:paraId="7C2CBAAF"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w:t>
            </w:r>
          </w:p>
          <w:p w14:paraId="5B02C7BB"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Facility</w:t>
            </w:r>
          </w:p>
        </w:tc>
        <w:tc>
          <w:tcPr>
            <w:tcW w:w="1388" w:type="dxa"/>
            <w:shd w:val="clear" w:color="auto" w:fill="auto"/>
          </w:tcPr>
          <w:p w14:paraId="14B5386A" w14:textId="2ADE43CF" w:rsidR="00BF0D8C" w:rsidRPr="00921944" w:rsidRDefault="00BF0D8C" w:rsidP="00BF0D8C">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20DC4AD1" wp14:editId="44A33861">
                  <wp:extent cx="461882" cy="477078"/>
                  <wp:effectExtent l="0" t="0" r="0" b="0"/>
                  <wp:docPr id="101" name="Picture 1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shd w:val="clear" w:color="auto" w:fill="auto"/>
          </w:tcPr>
          <w:p w14:paraId="0741E811"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p>
        </w:tc>
        <w:tc>
          <w:tcPr>
            <w:tcW w:w="2801" w:type="dxa"/>
            <w:shd w:val="clear" w:color="auto" w:fill="auto"/>
          </w:tcPr>
          <w:p w14:paraId="06709870"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Under construction</w:t>
            </w:r>
          </w:p>
          <w:p w14:paraId="2894C65F"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p>
          <w:p w14:paraId="6E8B0180"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BF0D8C" w:rsidRPr="00921944" w14:paraId="6B24B9A7" w14:textId="77777777" w:rsidTr="00F86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8"/>
            <w:shd w:val="clear" w:color="auto" w:fill="737373" w:themeFill="text2"/>
          </w:tcPr>
          <w:p w14:paraId="65E3B1B1" w14:textId="77777777" w:rsidR="00BF0D8C" w:rsidRPr="00921944" w:rsidRDefault="00BF0D8C" w:rsidP="00BF0D8C">
            <w:pPr>
              <w:spacing w:before="120" w:after="120"/>
              <w:rPr>
                <w:sz w:val="18"/>
                <w:szCs w:val="18"/>
                <w:lang w:val="en-US"/>
              </w:rPr>
            </w:pPr>
            <w:r w:rsidRPr="00921944">
              <w:rPr>
                <w:color w:val="FFFFFF" w:themeColor="background1"/>
                <w:sz w:val="18"/>
                <w:szCs w:val="18"/>
                <w:lang w:val="en-US"/>
              </w:rPr>
              <w:t>Canberra</w:t>
            </w:r>
          </w:p>
        </w:tc>
      </w:tr>
      <w:tr w:rsidR="00BF0D8C" w:rsidRPr="00921944" w14:paraId="260CBBFF"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7AF31A26" w14:textId="705CA066" w:rsidR="00BF0D8C" w:rsidRPr="00921944" w:rsidRDefault="00BF0D8C" w:rsidP="00BF0D8C">
            <w:pPr>
              <w:rPr>
                <w:bCs/>
                <w:sz w:val="18"/>
                <w:szCs w:val="18"/>
                <w:lang w:val="en-US"/>
              </w:rPr>
            </w:pPr>
            <w:r w:rsidRPr="00921944">
              <w:rPr>
                <w:bCs/>
                <w:sz w:val="18"/>
                <w:szCs w:val="18"/>
                <w:lang w:val="en-US"/>
              </w:rPr>
              <w:t>1</w:t>
            </w:r>
            <w:r w:rsidR="007A1DBD">
              <w:rPr>
                <w:bCs/>
                <w:sz w:val="18"/>
                <w:szCs w:val="18"/>
                <w:lang w:val="en-US"/>
              </w:rPr>
              <w:t>6</w:t>
            </w:r>
            <w:r w:rsidRPr="00921944">
              <w:rPr>
                <w:bCs/>
                <w:sz w:val="18"/>
                <w:szCs w:val="18"/>
                <w:lang w:val="en-US"/>
              </w:rPr>
              <w:t>.</w:t>
            </w:r>
          </w:p>
        </w:tc>
        <w:tc>
          <w:tcPr>
            <w:tcW w:w="3396" w:type="dxa"/>
          </w:tcPr>
          <w:p w14:paraId="5B3F25F4"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
                <w:sz w:val="18"/>
                <w:szCs w:val="18"/>
                <w:lang w:val="en-US"/>
              </w:rPr>
            </w:pPr>
            <w:r w:rsidRPr="00921944">
              <w:rPr>
                <w:b/>
                <w:sz w:val="18"/>
                <w:szCs w:val="18"/>
                <w:lang w:val="en-US"/>
              </w:rPr>
              <w:t>Australia’s first hydrogen Refueling Station.</w:t>
            </w:r>
          </w:p>
          <w:p w14:paraId="394236B8" w14:textId="41582BFE" w:rsidR="00BF0D8C"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Australia’s first public hydrogen refueling station has become operational in Canberra.</w:t>
            </w:r>
            <w:r w:rsidRPr="00921944">
              <w:rPr>
                <w:bCs/>
                <w:sz w:val="18"/>
                <w:szCs w:val="18"/>
                <w:lang w:val="en-US"/>
              </w:rPr>
              <w:fldChar w:fldCharType="begin" w:fldLock="1"/>
            </w:r>
            <w:r w:rsidR="00D21B34">
              <w:rPr>
                <w:bCs/>
                <w:sz w:val="18"/>
                <w:szCs w:val="18"/>
                <w:lang w:val="en-US"/>
              </w:rPr>
              <w:instrText>ADDIN CSL_CITATION {"citationItems":[{"id":"ITEM-1","itemData":{"URL":"https://www.cmtedd.act.gov.au/open_government/inform/act_government_media_releases/rattenbury/2021/australias-first-public-hydrogen-refuelling-station-opens-in-canberra","accessed":{"date-parts":[["2021","4","20"]]},"author":[{"dropping-particle":"","family":"Chief Minister","given":"Treasury and Economic Development Directorate","non-dropping-particle":"","parse-names":false,"suffix":""}],"container-title":"Media Releases","id":"ITEM-1","issued":{"date-parts":[["2021","3","26"]]},"title":"Australia's first public hydrogen refuelling station opens in Canberra  ","type":"webpage"},"uris":["http://www.mendeley.com/documents/?uuid=53ba6ddd-54c6-3361-8094-4249c87136bf"]}],"mendeley":{"formattedCitation":"&lt;sup&gt;36&lt;/sup&gt;","plainTextFormattedCitation":"36","previouslyFormattedCitation":"&lt;sup&gt;36&lt;/sup&gt;"},"properties":{"noteIndex":0},"schema":"https://github.com/citation-style-language/schema/raw/master/csl-citation.json"}</w:instrText>
            </w:r>
            <w:r w:rsidRPr="00921944">
              <w:rPr>
                <w:bCs/>
                <w:sz w:val="18"/>
                <w:szCs w:val="18"/>
                <w:lang w:val="en-US"/>
              </w:rPr>
              <w:fldChar w:fldCharType="separate"/>
            </w:r>
            <w:r w:rsidR="00C3381F" w:rsidRPr="00C3381F">
              <w:rPr>
                <w:bCs/>
                <w:noProof/>
                <w:sz w:val="18"/>
                <w:szCs w:val="18"/>
                <w:vertAlign w:val="superscript"/>
                <w:lang w:val="en-US"/>
              </w:rPr>
              <w:t>36</w:t>
            </w:r>
            <w:r w:rsidRPr="00921944">
              <w:rPr>
                <w:bCs/>
                <w:sz w:val="18"/>
                <w:szCs w:val="18"/>
                <w:lang w:val="en-US"/>
              </w:rPr>
              <w:fldChar w:fldCharType="end"/>
            </w:r>
            <w:r w:rsidRPr="00921944">
              <w:rPr>
                <w:bCs/>
                <w:sz w:val="18"/>
                <w:szCs w:val="18"/>
                <w:lang w:val="en-US"/>
              </w:rPr>
              <w:t xml:space="preserve"> </w:t>
            </w:r>
          </w:p>
          <w:p w14:paraId="209FEF1D" w14:textId="21D14723" w:rsidR="00BF0D8C" w:rsidRPr="00921944"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lastRenderedPageBreak/>
              <w:t xml:space="preserve">The facility has been developed in partnership with the ACT government, </w:t>
            </w:r>
            <w:proofErr w:type="spellStart"/>
            <w:r w:rsidRPr="00921944">
              <w:rPr>
                <w:bCs/>
                <w:sz w:val="18"/>
                <w:szCs w:val="18"/>
                <w:lang w:val="en-US"/>
              </w:rPr>
              <w:t>Neoen</w:t>
            </w:r>
            <w:proofErr w:type="spellEnd"/>
            <w:r w:rsidRPr="00921944">
              <w:rPr>
                <w:bCs/>
                <w:sz w:val="18"/>
                <w:szCs w:val="18"/>
                <w:lang w:val="en-US"/>
              </w:rPr>
              <w:t xml:space="preserve">, Hyundai, </w:t>
            </w:r>
            <w:proofErr w:type="spellStart"/>
            <w:r w:rsidRPr="00921944">
              <w:rPr>
                <w:bCs/>
                <w:sz w:val="18"/>
                <w:szCs w:val="18"/>
                <w:lang w:val="en-US"/>
              </w:rPr>
              <w:t>ActewAGL</w:t>
            </w:r>
            <w:proofErr w:type="spellEnd"/>
            <w:r w:rsidRPr="00921944">
              <w:rPr>
                <w:bCs/>
                <w:sz w:val="18"/>
                <w:szCs w:val="18"/>
                <w:lang w:val="en-US"/>
              </w:rPr>
              <w:t xml:space="preserve"> and </w:t>
            </w:r>
            <w:r>
              <w:rPr>
                <w:bCs/>
                <w:sz w:val="18"/>
                <w:szCs w:val="18"/>
                <w:lang w:val="en-US"/>
              </w:rPr>
              <w:t>SG F</w:t>
            </w:r>
            <w:r w:rsidRPr="00921944">
              <w:rPr>
                <w:bCs/>
                <w:sz w:val="18"/>
                <w:szCs w:val="18"/>
                <w:lang w:val="en-US"/>
              </w:rPr>
              <w:t xml:space="preserve">leet. It is installed at </w:t>
            </w:r>
            <w:proofErr w:type="spellStart"/>
            <w:r w:rsidRPr="00921944">
              <w:rPr>
                <w:bCs/>
                <w:sz w:val="18"/>
                <w:szCs w:val="18"/>
                <w:lang w:val="en-US"/>
              </w:rPr>
              <w:t>AcetewAGL’s</w:t>
            </w:r>
            <w:proofErr w:type="spellEnd"/>
            <w:r w:rsidRPr="00921944">
              <w:rPr>
                <w:bCs/>
                <w:sz w:val="18"/>
                <w:szCs w:val="18"/>
                <w:lang w:val="en-US"/>
              </w:rPr>
              <w:t xml:space="preserve"> existing CNG refueling station.</w:t>
            </w:r>
            <w:r w:rsidRPr="00921944">
              <w:rPr>
                <w:bCs/>
                <w:sz w:val="18"/>
                <w:szCs w:val="18"/>
                <w:lang w:val="en-US"/>
              </w:rPr>
              <w:fldChar w:fldCharType="begin" w:fldLock="1"/>
            </w:r>
            <w:r w:rsidR="00D21B34">
              <w:rPr>
                <w:bCs/>
                <w:sz w:val="18"/>
                <w:szCs w:val="18"/>
                <w:lang w:val="en-US"/>
              </w:rPr>
              <w:instrText>ADDIN CSL_CITATION {"citationItems":[{"id":"ITEM-1","itemData":{"URL":"https://thedriven.io/2021/03/26/act-unveils-australias-first-public-hydrogen-refuelling-station/","accessed":{"date-parts":[["2021","4","21"]]},"author":[{"dropping-particle":"","family":"Mazengarb","given":"Michael","non-dropping-particle":"","parse-names":false,"suffix":""}],"container-title":"The Driven","id":"ITEM-1","issued":{"date-parts":[["2021","3","26"]]},"title":"ACT unveils Australia's first public hydrogen refuelling station","type":"webpage"},"uris":["http://www.mendeley.com/documents/?uuid=f7de1646-8dfb-33d5-9eab-f2d1d3c5308a"]}],"mendeley":{"formattedCitation":"&lt;sup&gt;37&lt;/sup&gt;","plainTextFormattedCitation":"37","previouslyFormattedCitation":"&lt;sup&gt;37&lt;/sup&gt;"},"properties":{"noteIndex":0},"schema":"https://github.com/citation-style-language/schema/raw/master/csl-citation.json"}</w:instrText>
            </w:r>
            <w:r w:rsidRPr="00921944">
              <w:rPr>
                <w:bCs/>
                <w:sz w:val="18"/>
                <w:szCs w:val="18"/>
                <w:lang w:val="en-US"/>
              </w:rPr>
              <w:fldChar w:fldCharType="separate"/>
            </w:r>
            <w:r w:rsidR="00C3381F" w:rsidRPr="00C3381F">
              <w:rPr>
                <w:bCs/>
                <w:noProof/>
                <w:sz w:val="18"/>
                <w:szCs w:val="18"/>
                <w:vertAlign w:val="superscript"/>
                <w:lang w:val="en-US"/>
              </w:rPr>
              <w:t>37</w:t>
            </w:r>
            <w:r w:rsidRPr="00921944">
              <w:rPr>
                <w:bCs/>
                <w:sz w:val="18"/>
                <w:szCs w:val="18"/>
                <w:lang w:val="en-US"/>
              </w:rPr>
              <w:fldChar w:fldCharType="end"/>
            </w:r>
            <w:r w:rsidRPr="00921944">
              <w:rPr>
                <w:bCs/>
                <w:sz w:val="18"/>
                <w:szCs w:val="18"/>
                <w:lang w:val="en-US"/>
              </w:rPr>
              <w:t xml:space="preserve"> The facility is primarily being used to service 20 fuel cell vehicles (</w:t>
            </w:r>
            <w:proofErr w:type="spellStart"/>
            <w:r w:rsidRPr="00921944">
              <w:rPr>
                <w:bCs/>
                <w:sz w:val="18"/>
                <w:szCs w:val="18"/>
                <w:lang w:val="en-US"/>
              </w:rPr>
              <w:t>Nexos</w:t>
            </w:r>
            <w:proofErr w:type="spellEnd"/>
            <w:r w:rsidRPr="00921944">
              <w:rPr>
                <w:bCs/>
                <w:sz w:val="18"/>
                <w:szCs w:val="18"/>
                <w:lang w:val="en-US"/>
              </w:rPr>
              <w:t xml:space="preserve"> model) provided by Hyundai to the ACT government.</w:t>
            </w:r>
            <w:r>
              <w:rPr>
                <w:bCs/>
                <w:sz w:val="18"/>
                <w:szCs w:val="18"/>
                <w:lang w:val="en-US"/>
              </w:rPr>
              <w:fldChar w:fldCharType="begin" w:fldLock="1"/>
            </w:r>
            <w:r w:rsidR="00D21B34">
              <w:rPr>
                <w:bCs/>
                <w:sz w:val="18"/>
                <w:szCs w:val="18"/>
                <w:lang w:val="en-US"/>
              </w:rPr>
              <w:instrText>ADDIN CSL_CITATION {"citationItems":[{"id":"ITEM-1","itemData":{"URL":"https://research.csiro.au/hyresource/renewable-hydrogen-refuelling-pilot/","accessed":{"date-parts":[["2021","4","21"]]},"author":[{"dropping-particle":"","family":"CSIRO","given":"","non-dropping-particle":"","parse-names":false,"suffix":""}],"container-title":"HyResource","id":"ITEM-1","issued":{"date-parts":[["2020","9","23"]]},"title":"Renewable Hydrogen Refuelling Pilot ","type":"webpage"},"uris":["http://www.mendeley.com/documents/?uuid=811a08b4-c004-3b12-b832-933ac814728c"]}],"mendeley":{"formattedCitation":"&lt;sup&gt;38&lt;/sup&gt;","plainTextFormattedCitation":"38","previouslyFormattedCitation":"&lt;sup&gt;38&lt;/sup&gt;"},"properties":{"noteIndex":0},"schema":"https://github.com/citation-style-language/schema/raw/master/csl-citation.json"}</w:instrText>
            </w:r>
            <w:r>
              <w:rPr>
                <w:bCs/>
                <w:sz w:val="18"/>
                <w:szCs w:val="18"/>
                <w:lang w:val="en-US"/>
              </w:rPr>
              <w:fldChar w:fldCharType="separate"/>
            </w:r>
            <w:r w:rsidR="00C3381F" w:rsidRPr="00C3381F">
              <w:rPr>
                <w:bCs/>
                <w:noProof/>
                <w:sz w:val="18"/>
                <w:szCs w:val="18"/>
                <w:vertAlign w:val="superscript"/>
                <w:lang w:val="en-US"/>
              </w:rPr>
              <w:t>38</w:t>
            </w:r>
            <w:r>
              <w:rPr>
                <w:bCs/>
                <w:sz w:val="18"/>
                <w:szCs w:val="18"/>
                <w:lang w:val="en-US"/>
              </w:rPr>
              <w:fldChar w:fldCharType="end"/>
            </w:r>
          </w:p>
        </w:tc>
        <w:tc>
          <w:tcPr>
            <w:tcW w:w="1377" w:type="dxa"/>
          </w:tcPr>
          <w:p w14:paraId="32A4ED79"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lastRenderedPageBreak/>
              <w:t xml:space="preserve">Canberra, </w:t>
            </w:r>
          </w:p>
          <w:p w14:paraId="7C370ECC"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ACT</w:t>
            </w:r>
          </w:p>
        </w:tc>
        <w:tc>
          <w:tcPr>
            <w:tcW w:w="2059" w:type="dxa"/>
          </w:tcPr>
          <w:p w14:paraId="673FB220"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21 kg per day </w:t>
            </w:r>
          </w:p>
          <w:p w14:paraId="11A165F2" w14:textId="5E37CDC2"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(75 kW </w:t>
            </w:r>
            <w:r>
              <w:rPr>
                <w:bCs/>
                <w:sz w:val="18"/>
                <w:szCs w:val="18"/>
                <w:lang w:val="en-US"/>
              </w:rPr>
              <w:t>electrolyser</w:t>
            </w:r>
            <w:r w:rsidRPr="00921944">
              <w:rPr>
                <w:bCs/>
                <w:sz w:val="18"/>
                <w:szCs w:val="18"/>
                <w:lang w:val="en-US"/>
              </w:rPr>
              <w:t>)</w:t>
            </w:r>
          </w:p>
        </w:tc>
        <w:tc>
          <w:tcPr>
            <w:tcW w:w="2064" w:type="dxa"/>
          </w:tcPr>
          <w:p w14:paraId="77D0B31A"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Commercial Plant</w:t>
            </w:r>
          </w:p>
        </w:tc>
        <w:tc>
          <w:tcPr>
            <w:tcW w:w="1388" w:type="dxa"/>
          </w:tcPr>
          <w:p w14:paraId="1C73E382" w14:textId="3DA65337" w:rsidR="00BF0D8C" w:rsidRPr="00921944" w:rsidRDefault="00BF0D8C" w:rsidP="00BF0D8C">
            <w:pPr>
              <w:jc w:val="center"/>
              <w:cnfStyle w:val="000000000000" w:firstRow="0" w:lastRow="0" w:firstColumn="0" w:lastColumn="0" w:oddVBand="0" w:evenVBand="0" w:oddHBand="0" w:evenHBand="0" w:firstRowFirstColumn="0" w:firstRowLastColumn="0" w:lastRowFirstColumn="0" w:lastRowLastColumn="0"/>
              <w:rPr>
                <w:b/>
                <w:sz w:val="18"/>
                <w:szCs w:val="18"/>
                <w:lang w:val="en-US"/>
              </w:rPr>
            </w:pPr>
            <w:r>
              <w:rPr>
                <w:noProof/>
              </w:rPr>
              <w:drawing>
                <wp:inline distT="0" distB="0" distL="0" distR="0" wp14:anchorId="29E8BB26" wp14:editId="728C051D">
                  <wp:extent cx="461882" cy="477078"/>
                  <wp:effectExtent l="0" t="0" r="0" b="0"/>
                  <wp:docPr id="102" name="Picture 1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24EBBDD5"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
                <w:sz w:val="18"/>
                <w:szCs w:val="18"/>
                <w:lang w:val="en-US"/>
              </w:rPr>
            </w:pPr>
          </w:p>
        </w:tc>
        <w:tc>
          <w:tcPr>
            <w:tcW w:w="2801" w:type="dxa"/>
          </w:tcPr>
          <w:p w14:paraId="02DE526C"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Operational</w:t>
            </w:r>
          </w:p>
        </w:tc>
      </w:tr>
      <w:tr w:rsidR="00BF0D8C" w:rsidRPr="00921944" w14:paraId="5B30FE78" w14:textId="77777777" w:rsidTr="00F86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8"/>
            <w:shd w:val="clear" w:color="auto" w:fill="737373" w:themeFill="text2"/>
          </w:tcPr>
          <w:p w14:paraId="5194F968" w14:textId="77777777" w:rsidR="00BF0D8C" w:rsidRPr="00921944" w:rsidRDefault="00BF0D8C" w:rsidP="00BF0D8C">
            <w:pPr>
              <w:spacing w:before="120" w:after="120"/>
              <w:rPr>
                <w:sz w:val="18"/>
                <w:szCs w:val="18"/>
                <w:lang w:val="en-US"/>
              </w:rPr>
            </w:pPr>
            <w:r w:rsidRPr="00921944">
              <w:rPr>
                <w:color w:val="FFFFFF" w:themeColor="background1"/>
                <w:sz w:val="18"/>
                <w:szCs w:val="18"/>
                <w:lang w:val="en-US"/>
              </w:rPr>
              <w:t>Victoria</w:t>
            </w:r>
          </w:p>
        </w:tc>
      </w:tr>
      <w:tr w:rsidR="00BF0D8C" w:rsidRPr="00921944" w14:paraId="1E4B2038"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019F2CD2" w14:textId="1E808398" w:rsidR="00BF0D8C" w:rsidRPr="00921944" w:rsidRDefault="00BF0D8C" w:rsidP="00BF0D8C">
            <w:pPr>
              <w:rPr>
                <w:bCs/>
                <w:sz w:val="18"/>
                <w:szCs w:val="18"/>
                <w:lang w:val="en-US"/>
              </w:rPr>
            </w:pPr>
            <w:r w:rsidRPr="00921944">
              <w:rPr>
                <w:bCs/>
                <w:sz w:val="18"/>
                <w:szCs w:val="18"/>
                <w:lang w:val="en-US"/>
              </w:rPr>
              <w:t>1</w:t>
            </w:r>
            <w:r w:rsidR="007A1DBD">
              <w:rPr>
                <w:bCs/>
                <w:sz w:val="18"/>
                <w:szCs w:val="18"/>
                <w:lang w:val="en-US"/>
              </w:rPr>
              <w:t>7</w:t>
            </w:r>
            <w:r w:rsidRPr="00921944">
              <w:rPr>
                <w:bCs/>
                <w:sz w:val="18"/>
                <w:szCs w:val="18"/>
                <w:lang w:val="en-US"/>
              </w:rPr>
              <w:t>.</w:t>
            </w:r>
          </w:p>
        </w:tc>
        <w:tc>
          <w:tcPr>
            <w:tcW w:w="3396" w:type="dxa"/>
          </w:tcPr>
          <w:p w14:paraId="528724FE" w14:textId="77777777" w:rsidR="00BF0D8C" w:rsidRPr="00921944" w:rsidRDefault="00BF0D8C" w:rsidP="00BF0D8C">
            <w:pPr>
              <w:pStyle w:val="ListParagraph"/>
              <w:ind w:left="0" w:right="78"/>
              <w:contextualSpacing w:val="0"/>
              <w:jc w:val="both"/>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Hydrogen Park Murray Valley (</w:t>
            </w:r>
            <w:proofErr w:type="spellStart"/>
            <w:r w:rsidRPr="00921944">
              <w:rPr>
                <w:b/>
                <w:bCs/>
                <w:sz w:val="18"/>
                <w:szCs w:val="18"/>
                <w:lang w:val="en-US"/>
              </w:rPr>
              <w:t>HyP</w:t>
            </w:r>
            <w:proofErr w:type="spellEnd"/>
            <w:r w:rsidRPr="00921944">
              <w:rPr>
                <w:b/>
                <w:bCs/>
                <w:sz w:val="18"/>
                <w:szCs w:val="18"/>
                <w:lang w:val="en-US"/>
              </w:rPr>
              <w:t xml:space="preserve"> Murray Valley)</w:t>
            </w:r>
          </w:p>
          <w:p w14:paraId="2B11B2BF" w14:textId="40BCD688" w:rsidR="00BF0D8C" w:rsidRPr="00921944"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The </w:t>
            </w:r>
            <w:proofErr w:type="spellStart"/>
            <w:r w:rsidRPr="00921944">
              <w:rPr>
                <w:bCs/>
                <w:sz w:val="18"/>
                <w:szCs w:val="18"/>
                <w:lang w:val="en-US"/>
              </w:rPr>
              <w:t>HyP</w:t>
            </w:r>
            <w:proofErr w:type="spellEnd"/>
            <w:r w:rsidRPr="00921944">
              <w:rPr>
                <w:bCs/>
                <w:sz w:val="18"/>
                <w:szCs w:val="18"/>
                <w:lang w:val="en-US"/>
              </w:rPr>
              <w:t xml:space="preserve"> Murray Valley project is being planned in Wodonga. The project will be based on a 10 MW </w:t>
            </w:r>
            <w:r>
              <w:rPr>
                <w:bCs/>
                <w:sz w:val="18"/>
                <w:szCs w:val="18"/>
                <w:lang w:val="en-US"/>
              </w:rPr>
              <w:t>electrolyser</w:t>
            </w:r>
            <w:r w:rsidRPr="00921944">
              <w:rPr>
                <w:bCs/>
                <w:sz w:val="18"/>
                <w:szCs w:val="18"/>
                <w:lang w:val="en-US"/>
              </w:rPr>
              <w:t xml:space="preserve">, with the hydrogen used for blending into the natural gas pipeline (10% by volume). The </w:t>
            </w:r>
            <w:r>
              <w:rPr>
                <w:bCs/>
                <w:sz w:val="18"/>
                <w:szCs w:val="18"/>
                <w:lang w:val="en-US"/>
              </w:rPr>
              <w:t>electrolyser</w:t>
            </w:r>
            <w:r w:rsidRPr="00921944">
              <w:rPr>
                <w:bCs/>
                <w:sz w:val="18"/>
                <w:szCs w:val="18"/>
                <w:lang w:val="en-US"/>
              </w:rPr>
              <w:t xml:space="preserve"> will be installed near the Wodonga Wastewater Treatment Facility. The project is being led by the Australian Gas Networks. </w:t>
            </w:r>
          </w:p>
          <w:p w14:paraId="25A300AA" w14:textId="7332A3A1" w:rsidR="00BF0D8C" w:rsidRPr="00921944" w:rsidRDefault="00BF0D8C" w:rsidP="00BF0D8C">
            <w:pPr>
              <w:spacing w:before="240" w:after="120"/>
              <w:ind w:right="78"/>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The project has recently secured A$</w:t>
            </w:r>
            <w:r>
              <w:rPr>
                <w:bCs/>
                <w:sz w:val="18"/>
                <w:szCs w:val="18"/>
                <w:lang w:val="en-US"/>
              </w:rPr>
              <w:t>32.1</w:t>
            </w:r>
            <w:r w:rsidRPr="00921944">
              <w:rPr>
                <w:bCs/>
                <w:sz w:val="18"/>
                <w:szCs w:val="18"/>
                <w:lang w:val="en-US"/>
              </w:rPr>
              <w:t xml:space="preserve"> million in funding from ARENA (through the Hydrogen Deployment Fund).</w:t>
            </w:r>
            <w:r w:rsidRPr="00921944">
              <w:rPr>
                <w:bCs/>
                <w:sz w:val="18"/>
                <w:szCs w:val="18"/>
                <w:lang w:val="en-US"/>
              </w:rPr>
              <w:fldChar w:fldCharType="begin" w:fldLock="1"/>
            </w:r>
            <w:r w:rsidR="00D21B34">
              <w:rPr>
                <w:bCs/>
                <w:sz w:val="18"/>
                <w:szCs w:val="18"/>
                <w:lang w:val="en-US"/>
              </w:rPr>
              <w:instrText>ADDIN CSL_CITATION {"citationItems":[{"id":"ITEM-1","itemData":{"URL":"https://reneweconomy.com.au/australias-first-three-commercial-green-hydrogen-projects-to-share-103m-arena-funds/","accessed":{"date-parts":[["2021","6","3"]]},"author":[{"dropping-particle":"","family":"Mazengarb","given":"Michael","non-dropping-particle":"","parse-names":false,"suffix":""}],"container-title":"RenewEconomy","id":"ITEM-1","issued":{"date-parts":[["2021","5","5"]]},"title":"Australia's first three commercial green hydrogen projects to share $103m ARENA funds","type":"webpage"},"uris":["http://www.mendeley.com/documents/?uuid=571590a9-ee91-3844-9d8c-a150914730d1"]},{"id":"ITEM-2","itemData":{"URL":"https://www.afr.com/companies/energy/arena-tips-100m-into-three-hydrogen-projects-20210504-p57otr","accessed":{"date-parts":[["2021","6","3"]]},"author":[{"dropping-particle":"","family":"Ludlow","given":"Mark","non-dropping-particle":"","parse-names":false,"suffix":""},{"dropping-particle":"","family":"Macdonald-Smith","given":"Angela","non-dropping-particle":"","parse-names":false,"suffix":""}],"container-title":"Financial Review","id":"ITEM-2","issued":{"date-parts":[["2021","5"]]},"title":"ARENA tips $100m into three hydrogen projects","type":"webpage"},"uris":["http://www.mendeley.com/documents/?uuid=e7f8d222-525b-3fce-970d-b999cd9af634"]}],"mendeley":{"formattedCitation":"&lt;sup&gt;39,40&lt;/sup&gt;","plainTextFormattedCitation":"39,40","previouslyFormattedCitation":"&lt;sup&gt;39,40&lt;/sup&gt;"},"properties":{"noteIndex":0},"schema":"https://github.com/citation-style-language/schema/raw/master/csl-citation.json"}</w:instrText>
            </w:r>
            <w:r w:rsidRPr="00921944">
              <w:rPr>
                <w:bCs/>
                <w:sz w:val="18"/>
                <w:szCs w:val="18"/>
                <w:lang w:val="en-US"/>
              </w:rPr>
              <w:fldChar w:fldCharType="separate"/>
            </w:r>
            <w:r w:rsidR="00C3381F" w:rsidRPr="00C3381F">
              <w:rPr>
                <w:bCs/>
                <w:noProof/>
                <w:sz w:val="18"/>
                <w:szCs w:val="18"/>
                <w:vertAlign w:val="superscript"/>
                <w:lang w:val="en-US"/>
              </w:rPr>
              <w:t>39,40</w:t>
            </w:r>
            <w:r w:rsidRPr="00921944">
              <w:rPr>
                <w:bCs/>
                <w:sz w:val="18"/>
                <w:szCs w:val="18"/>
                <w:lang w:val="en-US"/>
              </w:rPr>
              <w:fldChar w:fldCharType="end"/>
            </w:r>
          </w:p>
        </w:tc>
        <w:tc>
          <w:tcPr>
            <w:tcW w:w="1377" w:type="dxa"/>
          </w:tcPr>
          <w:p w14:paraId="795D3745"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Wodonga, </w:t>
            </w:r>
          </w:p>
          <w:p w14:paraId="081E5725"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Vic</w:t>
            </w:r>
          </w:p>
        </w:tc>
        <w:tc>
          <w:tcPr>
            <w:tcW w:w="2059" w:type="dxa"/>
          </w:tcPr>
          <w:p w14:paraId="0F01CA56" w14:textId="4F463F60"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10 MW </w:t>
            </w:r>
            <w:r>
              <w:rPr>
                <w:bCs/>
                <w:sz w:val="18"/>
                <w:szCs w:val="18"/>
                <w:lang w:val="en-US"/>
              </w:rPr>
              <w:t>electrolyser</w:t>
            </w:r>
          </w:p>
        </w:tc>
        <w:tc>
          <w:tcPr>
            <w:tcW w:w="2064" w:type="dxa"/>
          </w:tcPr>
          <w:p w14:paraId="52BBF8F1"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w:t>
            </w:r>
          </w:p>
          <w:p w14:paraId="104A1C21"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sz w:val="18"/>
                <w:szCs w:val="18"/>
                <w:lang w:val="en-US"/>
              </w:rPr>
              <w:t>Facility</w:t>
            </w:r>
          </w:p>
        </w:tc>
        <w:tc>
          <w:tcPr>
            <w:tcW w:w="1388" w:type="dxa"/>
          </w:tcPr>
          <w:p w14:paraId="0625EB05" w14:textId="56D49443" w:rsidR="00BF0D8C" w:rsidRPr="00921944" w:rsidRDefault="00BF0D8C" w:rsidP="00BF0D8C">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6FD2432C" wp14:editId="0B50EA7E">
                  <wp:extent cx="461882" cy="477078"/>
                  <wp:effectExtent l="0" t="0" r="0" b="0"/>
                  <wp:docPr id="103" name="Picture 1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tcPr>
          <w:p w14:paraId="77B5C7CD"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
                <w:sz w:val="18"/>
                <w:szCs w:val="18"/>
                <w:lang w:val="en-US"/>
              </w:rPr>
            </w:pPr>
          </w:p>
        </w:tc>
        <w:tc>
          <w:tcPr>
            <w:tcW w:w="2801" w:type="dxa"/>
          </w:tcPr>
          <w:p w14:paraId="38ED65AE" w14:textId="77777777" w:rsidR="00BF0D8C"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Under development</w:t>
            </w:r>
          </w:p>
          <w:p w14:paraId="13BEEB07" w14:textId="543A5D2A"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(Operations anticipated by 2023)</w:t>
            </w:r>
          </w:p>
        </w:tc>
      </w:tr>
      <w:tr w:rsidR="0082149E" w:rsidRPr="00921944" w14:paraId="3EB379BA"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431FD26B" w14:textId="4C6E43B5" w:rsidR="00BF0D8C" w:rsidRPr="00921944" w:rsidRDefault="00BF0D8C" w:rsidP="00BF0D8C">
            <w:pPr>
              <w:rPr>
                <w:bCs/>
                <w:sz w:val="18"/>
                <w:szCs w:val="18"/>
                <w:lang w:val="en-US"/>
              </w:rPr>
            </w:pPr>
            <w:r w:rsidRPr="00921944">
              <w:rPr>
                <w:bCs/>
                <w:sz w:val="18"/>
                <w:szCs w:val="18"/>
                <w:lang w:val="en-US"/>
              </w:rPr>
              <w:t>1</w:t>
            </w:r>
            <w:r w:rsidR="007A1DBD">
              <w:rPr>
                <w:bCs/>
                <w:sz w:val="18"/>
                <w:szCs w:val="18"/>
                <w:lang w:val="en-US"/>
              </w:rPr>
              <w:t>8</w:t>
            </w:r>
            <w:r w:rsidRPr="00921944">
              <w:rPr>
                <w:bCs/>
                <w:sz w:val="18"/>
                <w:szCs w:val="18"/>
                <w:lang w:val="en-US"/>
              </w:rPr>
              <w:t>.</w:t>
            </w:r>
          </w:p>
        </w:tc>
        <w:tc>
          <w:tcPr>
            <w:tcW w:w="3396" w:type="dxa"/>
            <w:shd w:val="clear" w:color="auto" w:fill="FFFFFF" w:themeFill="background1"/>
          </w:tcPr>
          <w:p w14:paraId="36D8370D"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Hydrogen Energy Supply Chain Pilot Project (HESC)</w:t>
            </w:r>
          </w:p>
          <w:p w14:paraId="5313F0E4" w14:textId="77777777" w:rsidR="00BF0D8C" w:rsidRDefault="00BF0D8C" w:rsidP="00BF0D8C">
            <w:pPr>
              <w:spacing w:before="240" w:after="120"/>
              <w:ind w:right="153"/>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H</w:t>
            </w:r>
            <w:r>
              <w:rPr>
                <w:sz w:val="18"/>
                <w:szCs w:val="18"/>
                <w:lang w:val="en-US"/>
              </w:rPr>
              <w:t>ES</w:t>
            </w:r>
            <w:r w:rsidRPr="00921944">
              <w:rPr>
                <w:sz w:val="18"/>
                <w:szCs w:val="18"/>
                <w:lang w:val="en-US"/>
              </w:rPr>
              <w:t xml:space="preserve">C project is a pilot project exploring the full hydrogen supply chain from Australia to Japan. </w:t>
            </w:r>
          </w:p>
          <w:p w14:paraId="78F7F24C" w14:textId="74C7C131" w:rsidR="00BF0D8C" w:rsidRDefault="00BF0D8C" w:rsidP="00BF0D8C">
            <w:pPr>
              <w:spacing w:before="240" w:after="120"/>
              <w:ind w:right="153"/>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Utilizing Victorian coal from the Latrobe Valley to generate hydrogen, the project is also establishing a liquefaction unit in Port of Hastings. The project is being developed by a consortium comprising of Kawasaki Heavy Industries (KHI), J-Power, </w:t>
            </w:r>
            <w:r w:rsidRPr="00921944">
              <w:rPr>
                <w:sz w:val="18"/>
                <w:szCs w:val="18"/>
                <w:lang w:val="en-US"/>
              </w:rPr>
              <w:lastRenderedPageBreak/>
              <w:t xml:space="preserve">Iwatani Corporation, Marubeni Corporation </w:t>
            </w:r>
            <w:r>
              <w:rPr>
                <w:sz w:val="18"/>
                <w:szCs w:val="18"/>
                <w:lang w:val="en-US"/>
              </w:rPr>
              <w:t xml:space="preserve">, Sumitomo Corporation </w:t>
            </w:r>
            <w:r w:rsidRPr="00921944">
              <w:rPr>
                <w:sz w:val="18"/>
                <w:szCs w:val="18"/>
                <w:lang w:val="en-US"/>
              </w:rPr>
              <w:t>and AGL.</w:t>
            </w:r>
            <w:r w:rsidRPr="00921944">
              <w:rPr>
                <w:sz w:val="18"/>
                <w:szCs w:val="18"/>
                <w:lang w:val="en-US"/>
              </w:rPr>
              <w:fldChar w:fldCharType="begin" w:fldLock="1"/>
            </w:r>
            <w:r w:rsidR="00D21B34">
              <w:rPr>
                <w:sz w:val="18"/>
                <w:szCs w:val="18"/>
                <w:lang w:val="en-US"/>
              </w:rPr>
              <w:instrText>ADDIN CSL_CITATION {"citationItems":[{"id":"ITEM-1","itemData":{"id":"ITEM-1","issued":{"date-parts":[["0"]]},"title":"Construction starts on a world first liquid hydrogen project in Victoria - Invest Victoria","type":"webpage"},"uris":["http://www.mendeley.com/documents/?uuid=1b6b36e7-3abd-3849-a5b4-739798cc115f","http://www.mendeley.com/documents/?uuid=ecb6e374-4595-4e71-aacf-302c4f92c0e7","http://www.mendeley.com/documents/?uuid=9ff1c206-bddd-4996-a8be-b72bc133e0f1"]}],"mendeley":{"formattedCitation":"&lt;sup&gt;41&lt;/sup&gt;","plainTextFormattedCitation":"41","previouslyFormattedCitation":"&lt;sup&gt;41&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41</w:t>
            </w:r>
            <w:r w:rsidRPr="00921944">
              <w:rPr>
                <w:sz w:val="18"/>
                <w:szCs w:val="18"/>
                <w:lang w:val="en-US"/>
              </w:rPr>
              <w:fldChar w:fldCharType="end"/>
            </w:r>
            <w:r w:rsidRPr="00921944">
              <w:rPr>
                <w:sz w:val="18"/>
                <w:szCs w:val="18"/>
                <w:lang w:val="en-US"/>
              </w:rPr>
              <w:t xml:space="preserve"> </w:t>
            </w:r>
          </w:p>
          <w:p w14:paraId="1FC4C1F2" w14:textId="5C0E2E22" w:rsidR="00BF0D8C" w:rsidRPr="00921944" w:rsidRDefault="00BF0D8C" w:rsidP="00BF0D8C">
            <w:pPr>
              <w:spacing w:before="240" w:after="120"/>
              <w:ind w:right="153"/>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pilot project </w:t>
            </w:r>
            <w:r>
              <w:rPr>
                <w:sz w:val="18"/>
                <w:szCs w:val="18"/>
                <w:lang w:val="en-US"/>
              </w:rPr>
              <w:t xml:space="preserve">(which is expected to deliver 1 – 3 tonnes over 1 year) </w:t>
            </w:r>
            <w:r w:rsidRPr="00921944">
              <w:rPr>
                <w:sz w:val="18"/>
                <w:szCs w:val="18"/>
                <w:lang w:val="en-US"/>
              </w:rPr>
              <w:t xml:space="preserve">is being developed to assess the viability of </w:t>
            </w:r>
            <w:r>
              <w:rPr>
                <w:sz w:val="18"/>
                <w:szCs w:val="18"/>
                <w:lang w:val="en-US"/>
              </w:rPr>
              <w:t>an overall</w:t>
            </w:r>
            <w:r w:rsidRPr="00921944">
              <w:rPr>
                <w:sz w:val="18"/>
                <w:szCs w:val="18"/>
                <w:lang w:val="en-US"/>
              </w:rPr>
              <w:t xml:space="preserve"> supply chain</w:t>
            </w:r>
            <w:r>
              <w:rPr>
                <w:sz w:val="18"/>
                <w:szCs w:val="18"/>
                <w:lang w:val="en-US"/>
              </w:rPr>
              <w:t xml:space="preserve"> between Japan and Australia</w:t>
            </w:r>
            <w:r w:rsidRPr="00921944">
              <w:rPr>
                <w:sz w:val="18"/>
                <w:szCs w:val="18"/>
                <w:lang w:val="en-US"/>
              </w:rPr>
              <w:t>.</w:t>
            </w:r>
            <w:r>
              <w:rPr>
                <w:sz w:val="18"/>
                <w:szCs w:val="18"/>
                <w:lang w:val="en-US"/>
              </w:rPr>
              <w:fldChar w:fldCharType="begin" w:fldLock="1"/>
            </w:r>
            <w:r w:rsidR="00D21B34">
              <w:rPr>
                <w:sz w:val="18"/>
                <w:szCs w:val="18"/>
                <w:lang w:val="en-US"/>
              </w:rPr>
              <w:instrText>ADDIN CSL_CITATION {"citationItems":[{"id":"ITEM-1","itemData":{"URL":"https://hydrogenenergysupplychain.com/","author":[{"dropping-particle":"","family":"Hydrogen Engineering Australia","given":"","non-dropping-particle":"","parse-names":false,"suffix":""}],"id":"ITEM-1","issued":{"date-parts":[["2020"]]},"title":"Hydrogen Energy Supply Chain","type":"webpage"},"uris":["http://www.mendeley.com/documents/?uuid=2dc8d30d-7070-4a76-bedc-33ea189013ba"]}],"mendeley":{"formattedCitation":"&lt;sup&gt;42&lt;/sup&gt;","plainTextFormattedCitation":"42","previouslyFormattedCitation":"&lt;sup&gt;42&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42</w:t>
            </w:r>
            <w:r>
              <w:rPr>
                <w:sz w:val="18"/>
                <w:szCs w:val="18"/>
                <w:lang w:val="en-US"/>
              </w:rPr>
              <w:fldChar w:fldCharType="end"/>
            </w:r>
          </w:p>
        </w:tc>
        <w:tc>
          <w:tcPr>
            <w:tcW w:w="1377" w:type="dxa"/>
            <w:shd w:val="clear" w:color="auto" w:fill="FFFFFF" w:themeFill="background1"/>
          </w:tcPr>
          <w:p w14:paraId="5A511AAF" w14:textId="77777777" w:rsidR="00BF0D8C" w:rsidRPr="00921944" w:rsidRDefault="00BF0D8C" w:rsidP="00BF0D8C">
            <w:pPr>
              <w:pStyle w:val="ListParagraph"/>
              <w:ind w:left="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lastRenderedPageBreak/>
              <w:t>Latrobe Valley (generation), Vic</w:t>
            </w:r>
          </w:p>
          <w:p w14:paraId="74798722" w14:textId="77777777" w:rsidR="00BF0D8C" w:rsidRPr="00921944" w:rsidRDefault="00BF0D8C" w:rsidP="00BF0D8C">
            <w:pPr>
              <w:pStyle w:val="ListParagraph"/>
              <w:ind w:left="0"/>
              <w:cnfStyle w:val="000000010000" w:firstRow="0" w:lastRow="0" w:firstColumn="0" w:lastColumn="0" w:oddVBand="0" w:evenVBand="0" w:oddHBand="0" w:evenHBand="1" w:firstRowFirstColumn="0" w:firstRowLastColumn="0" w:lastRowFirstColumn="0" w:lastRowLastColumn="0"/>
              <w:rPr>
                <w:sz w:val="18"/>
                <w:szCs w:val="18"/>
                <w:lang w:val="en-US"/>
              </w:rPr>
            </w:pPr>
          </w:p>
          <w:p w14:paraId="75422234" w14:textId="3FA073BF" w:rsidR="00BF0D8C" w:rsidRPr="00921944" w:rsidRDefault="00BF0D8C" w:rsidP="00BF0D8C">
            <w:pPr>
              <w:pStyle w:val="ListParagraph"/>
              <w:ind w:left="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Port of Hastings (export), Vic</w:t>
            </w:r>
          </w:p>
        </w:tc>
        <w:tc>
          <w:tcPr>
            <w:tcW w:w="2059" w:type="dxa"/>
            <w:shd w:val="clear" w:color="auto" w:fill="FFFFFF" w:themeFill="background1"/>
          </w:tcPr>
          <w:p w14:paraId="052712AA"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r w:rsidRPr="00921944">
              <w:rPr>
                <w:bCs/>
                <w:sz w:val="18"/>
                <w:szCs w:val="18"/>
                <w:lang w:val="en-US"/>
              </w:rPr>
              <w:t>1 – 3 tonnes over the pilot project life.</w:t>
            </w:r>
          </w:p>
          <w:p w14:paraId="4703BB48"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p>
          <w:p w14:paraId="0B463814" w14:textId="77777777" w:rsidR="00BF0D8C"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r w:rsidRPr="00921944">
              <w:rPr>
                <w:bCs/>
                <w:sz w:val="18"/>
                <w:szCs w:val="18"/>
                <w:lang w:val="en-US"/>
              </w:rPr>
              <w:t>Commercial Scale up: The future proposed scaled up facility will include a large-scale coal gasification plant</w:t>
            </w:r>
            <w:r>
              <w:rPr>
                <w:bCs/>
                <w:sz w:val="18"/>
                <w:szCs w:val="18"/>
                <w:lang w:val="en-US"/>
              </w:rPr>
              <w:t>.</w:t>
            </w:r>
          </w:p>
          <w:p w14:paraId="40552F14" w14:textId="77777777" w:rsidR="00BF0D8C"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p>
          <w:p w14:paraId="4435D510" w14:textId="018C6DCC" w:rsidR="00BF0D8C"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r>
              <w:rPr>
                <w:bCs/>
                <w:sz w:val="18"/>
                <w:szCs w:val="18"/>
                <w:lang w:val="en-US"/>
              </w:rPr>
              <w:t>The CO</w:t>
            </w:r>
            <w:r w:rsidRPr="004211EC">
              <w:rPr>
                <w:bCs/>
                <w:sz w:val="18"/>
                <w:szCs w:val="18"/>
                <w:vertAlign w:val="subscript"/>
                <w:lang w:val="en-US"/>
              </w:rPr>
              <w:t>2</w:t>
            </w:r>
            <w:r>
              <w:rPr>
                <w:bCs/>
                <w:sz w:val="18"/>
                <w:szCs w:val="18"/>
                <w:lang w:val="en-US"/>
              </w:rPr>
              <w:t xml:space="preserve"> generated from the process for the pilot phase have been accounted for using carbon credits </w:t>
            </w:r>
            <w:r>
              <w:rPr>
                <w:bCs/>
                <w:sz w:val="18"/>
                <w:szCs w:val="18"/>
                <w:lang w:val="en-US"/>
              </w:rPr>
              <w:lastRenderedPageBreak/>
              <w:t>that have been purchased form Clean Energy Regulator (Australian Carbon Credit Units – AACUs).</w:t>
            </w:r>
            <w:r>
              <w:rPr>
                <w:bCs/>
                <w:sz w:val="18"/>
                <w:szCs w:val="18"/>
                <w:lang w:val="en-US"/>
              </w:rPr>
              <w:fldChar w:fldCharType="begin" w:fldLock="1"/>
            </w:r>
            <w:r w:rsidR="00D21B34">
              <w:rPr>
                <w:bCs/>
                <w:sz w:val="18"/>
                <w:szCs w:val="18"/>
                <w:lang w:val="en-US"/>
              </w:rPr>
              <w:instrText>ADDIN CSL_CITATION {"citationItems":[{"id":"ITEM-1","itemData":{"URL":"https://hydrogenenergysupplychain.com/community-and-sustainability/","accessed":{"date-parts":[["2021","7","27"]]},"author":[{"dropping-particle":"","family":"HESC","given":"","non-dropping-particle":"","parse-names":false,"suffix":""}],"id":"ITEM-1","issued":{"date-parts":[["0"]]},"title":"Community and sustainability - Emissions","type":"webpage"},"uris":["http://www.mendeley.com/documents/?uuid=7ca92923-f0ee-31a3-ae89-cf2772f7b262"]}],"mendeley":{"formattedCitation":"&lt;sup&gt;43&lt;/sup&gt;","plainTextFormattedCitation":"43","previouslyFormattedCitation":"&lt;sup&gt;43&lt;/sup&gt;"},"properties":{"noteIndex":0},"schema":"https://github.com/citation-style-language/schema/raw/master/csl-citation.json"}</w:instrText>
            </w:r>
            <w:r>
              <w:rPr>
                <w:bCs/>
                <w:sz w:val="18"/>
                <w:szCs w:val="18"/>
                <w:lang w:val="en-US"/>
              </w:rPr>
              <w:fldChar w:fldCharType="separate"/>
            </w:r>
            <w:r w:rsidR="00C3381F" w:rsidRPr="00C3381F">
              <w:rPr>
                <w:bCs/>
                <w:noProof/>
                <w:sz w:val="18"/>
                <w:szCs w:val="18"/>
                <w:vertAlign w:val="superscript"/>
                <w:lang w:val="en-US"/>
              </w:rPr>
              <w:t>43</w:t>
            </w:r>
            <w:r>
              <w:rPr>
                <w:bCs/>
                <w:sz w:val="18"/>
                <w:szCs w:val="18"/>
                <w:lang w:val="en-US"/>
              </w:rPr>
              <w:fldChar w:fldCharType="end"/>
            </w:r>
            <w:r>
              <w:rPr>
                <w:bCs/>
                <w:sz w:val="18"/>
                <w:szCs w:val="18"/>
                <w:lang w:val="en-US"/>
              </w:rPr>
              <w:t xml:space="preserve"> </w:t>
            </w:r>
          </w:p>
          <w:p w14:paraId="326F759B" w14:textId="77777777" w:rsidR="00BF0D8C"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p>
          <w:p w14:paraId="7AA50D13" w14:textId="11DBCF68" w:rsidR="00BF0D8C" w:rsidRPr="00921944" w:rsidRDefault="00BF0D8C" w:rsidP="00BF0D8C">
            <w:pPr>
              <w:spacing w:after="80"/>
              <w:cnfStyle w:val="000000010000" w:firstRow="0" w:lastRow="0" w:firstColumn="0" w:lastColumn="0" w:oddVBand="0" w:evenVBand="0" w:oddHBand="0" w:evenHBand="1" w:firstRowFirstColumn="0" w:firstRowLastColumn="0" w:lastRowFirstColumn="0" w:lastRowLastColumn="0"/>
              <w:rPr>
                <w:bCs/>
                <w:sz w:val="18"/>
                <w:szCs w:val="18"/>
                <w:lang w:val="en-US"/>
              </w:rPr>
            </w:pPr>
            <w:r>
              <w:rPr>
                <w:bCs/>
                <w:sz w:val="18"/>
                <w:szCs w:val="18"/>
                <w:lang w:val="en-US"/>
              </w:rPr>
              <w:t>For the commercial scale the CO</w:t>
            </w:r>
            <w:r w:rsidRPr="009A737A">
              <w:rPr>
                <w:bCs/>
                <w:sz w:val="18"/>
                <w:szCs w:val="18"/>
                <w:vertAlign w:val="subscript"/>
                <w:lang w:val="en-US"/>
              </w:rPr>
              <w:t>2</w:t>
            </w:r>
            <w:r>
              <w:rPr>
                <w:bCs/>
                <w:sz w:val="18"/>
                <w:szCs w:val="18"/>
                <w:lang w:val="en-US"/>
              </w:rPr>
              <w:t xml:space="preserve"> is expected to be captured and stored in the </w:t>
            </w:r>
            <w:proofErr w:type="spellStart"/>
            <w:r>
              <w:rPr>
                <w:bCs/>
                <w:sz w:val="18"/>
                <w:szCs w:val="18"/>
                <w:lang w:val="en-US"/>
              </w:rPr>
              <w:t>CarbonNet</w:t>
            </w:r>
            <w:proofErr w:type="spellEnd"/>
            <w:r>
              <w:rPr>
                <w:bCs/>
                <w:sz w:val="18"/>
                <w:szCs w:val="18"/>
                <w:lang w:val="en-US"/>
              </w:rPr>
              <w:t xml:space="preserve"> Project. </w:t>
            </w:r>
            <w:r>
              <w:rPr>
                <w:bCs/>
                <w:sz w:val="18"/>
                <w:szCs w:val="18"/>
                <w:lang w:val="en-US"/>
              </w:rPr>
              <w:fldChar w:fldCharType="begin" w:fldLock="1"/>
            </w:r>
            <w:r w:rsidR="00D21B34">
              <w:rPr>
                <w:bCs/>
                <w:sz w:val="18"/>
                <w:szCs w:val="18"/>
                <w:lang w:val="en-US"/>
              </w:rPr>
              <w:instrText>ADDIN CSL_CITATION {"citationItems":[{"id":"ITEM-1","itemData":{"URL":"https://hydrogenenergysupplychain.com/community-and-sustainability/","accessed":{"date-parts":[["2021","7","27"]]},"author":[{"dropping-particle":"","family":"HESC","given":"","non-dropping-particle":"","parse-names":false,"suffix":""}],"id":"ITEM-1","issued":{"date-parts":[["0"]]},"title":"Community and sustainability - Emissions","type":"webpage"},"uris":["http://www.mendeley.com/documents/?uuid=7ca92923-f0ee-31a3-ae89-cf2772f7b262"]}],"mendeley":{"formattedCitation":"&lt;sup&gt;43&lt;/sup&gt;","plainTextFormattedCitation":"43","previouslyFormattedCitation":"&lt;sup&gt;43&lt;/sup&gt;"},"properties":{"noteIndex":0},"schema":"https://github.com/citation-style-language/schema/raw/master/csl-citation.json"}</w:instrText>
            </w:r>
            <w:r>
              <w:rPr>
                <w:bCs/>
                <w:sz w:val="18"/>
                <w:szCs w:val="18"/>
                <w:lang w:val="en-US"/>
              </w:rPr>
              <w:fldChar w:fldCharType="separate"/>
            </w:r>
            <w:r w:rsidR="00C3381F" w:rsidRPr="00C3381F">
              <w:rPr>
                <w:bCs/>
                <w:noProof/>
                <w:sz w:val="18"/>
                <w:szCs w:val="18"/>
                <w:vertAlign w:val="superscript"/>
                <w:lang w:val="en-US"/>
              </w:rPr>
              <w:t>43</w:t>
            </w:r>
            <w:r>
              <w:rPr>
                <w:bCs/>
                <w:sz w:val="18"/>
                <w:szCs w:val="18"/>
                <w:lang w:val="en-US"/>
              </w:rPr>
              <w:fldChar w:fldCharType="end"/>
            </w:r>
            <w:r>
              <w:rPr>
                <w:bCs/>
                <w:sz w:val="18"/>
                <w:szCs w:val="18"/>
                <w:lang w:val="en-US"/>
              </w:rPr>
              <w:t xml:space="preserve">The </w:t>
            </w:r>
            <w:proofErr w:type="spellStart"/>
            <w:r>
              <w:rPr>
                <w:bCs/>
                <w:sz w:val="18"/>
                <w:szCs w:val="18"/>
                <w:lang w:val="en-US"/>
              </w:rPr>
              <w:t>CarbonNet</w:t>
            </w:r>
            <w:proofErr w:type="spellEnd"/>
            <w:r>
              <w:rPr>
                <w:bCs/>
                <w:sz w:val="18"/>
                <w:szCs w:val="18"/>
                <w:lang w:val="en-US"/>
              </w:rPr>
              <w:t xml:space="preserve"> project is being jointly developed by the Federal and Victorian Government for CO2 storage in depleted oil and gas reservoirs beneath the Bass Strait in Victoria.</w:t>
            </w:r>
            <w:r>
              <w:rPr>
                <w:bCs/>
                <w:sz w:val="18"/>
                <w:szCs w:val="18"/>
                <w:lang w:val="en-US"/>
              </w:rPr>
              <w:fldChar w:fldCharType="begin" w:fldLock="1"/>
            </w:r>
            <w:r w:rsidR="00D21B34">
              <w:rPr>
                <w:bCs/>
                <w:sz w:val="18"/>
                <w:szCs w:val="18"/>
                <w:lang w:val="en-US"/>
              </w:rPr>
              <w:instrText>ADDIN CSL_CITATION {"citationItems":[{"id":"ITEM-1","itemData":{"URL":"https://earthresources.vic.gov.au/projects/carbonnet-project","accessed":{"date-parts":[["2021","7","27"]]},"author":[{"dropping-particle":"","family":"Victoria Government","given":"","non-dropping-particle":"","parse-names":false,"suffix":""}],"id":"ITEM-1","issued":{"date-parts":[["0"]]},"title":"The CarbonNet Project - Earth Resources","type":"webpage"},"uris":["http://www.mendeley.com/documents/?uuid=763f3f11-e2d6-3476-9231-282ecbd9687f"]}],"mendeley":{"formattedCitation":"&lt;sup&gt;44&lt;/sup&gt;","plainTextFormattedCitation":"44","previouslyFormattedCitation":"&lt;sup&gt;44&lt;/sup&gt;"},"properties":{"noteIndex":0},"schema":"https://github.com/citation-style-language/schema/raw/master/csl-citation.json"}</w:instrText>
            </w:r>
            <w:r>
              <w:rPr>
                <w:bCs/>
                <w:sz w:val="18"/>
                <w:szCs w:val="18"/>
                <w:lang w:val="en-US"/>
              </w:rPr>
              <w:fldChar w:fldCharType="separate"/>
            </w:r>
            <w:r w:rsidR="00C3381F" w:rsidRPr="00C3381F">
              <w:rPr>
                <w:bCs/>
                <w:noProof/>
                <w:sz w:val="18"/>
                <w:szCs w:val="18"/>
                <w:vertAlign w:val="superscript"/>
                <w:lang w:val="en-US"/>
              </w:rPr>
              <w:t>44</w:t>
            </w:r>
            <w:r>
              <w:rPr>
                <w:bCs/>
                <w:sz w:val="18"/>
                <w:szCs w:val="18"/>
                <w:lang w:val="en-US"/>
              </w:rPr>
              <w:fldChar w:fldCharType="end"/>
            </w:r>
          </w:p>
        </w:tc>
        <w:tc>
          <w:tcPr>
            <w:tcW w:w="2064" w:type="dxa"/>
            <w:shd w:val="clear" w:color="auto" w:fill="FFFFFF" w:themeFill="background1"/>
          </w:tcPr>
          <w:p w14:paraId="28F39ACC"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bCs/>
                <w:sz w:val="18"/>
                <w:szCs w:val="18"/>
                <w:lang w:val="en-US"/>
              </w:rPr>
            </w:pPr>
            <w:r w:rsidRPr="00921944">
              <w:rPr>
                <w:sz w:val="18"/>
                <w:szCs w:val="18"/>
                <w:lang w:val="en-US"/>
              </w:rPr>
              <w:lastRenderedPageBreak/>
              <w:t>Demonstration Plant/Future Scale Up</w:t>
            </w:r>
          </w:p>
        </w:tc>
        <w:tc>
          <w:tcPr>
            <w:tcW w:w="1388" w:type="dxa"/>
            <w:shd w:val="clear" w:color="auto" w:fill="FFFFFF" w:themeFill="background1"/>
          </w:tcPr>
          <w:p w14:paraId="2486588E" w14:textId="77777777" w:rsidR="00BF0D8C" w:rsidRPr="00921944" w:rsidRDefault="00BF0D8C" w:rsidP="00BF0D8C">
            <w:pPr>
              <w:jc w:val="center"/>
              <w:cnfStyle w:val="000000010000" w:firstRow="0" w:lastRow="0" w:firstColumn="0" w:lastColumn="0" w:oddVBand="0" w:evenVBand="0" w:oddHBand="0" w:evenHBand="1" w:firstRowFirstColumn="0" w:firstRowLastColumn="0" w:lastRowFirstColumn="0" w:lastRowLastColumn="0"/>
              <w:rPr>
                <w:noProof/>
                <w:sz w:val="18"/>
                <w:szCs w:val="18"/>
              </w:rPr>
            </w:pPr>
          </w:p>
        </w:tc>
        <w:tc>
          <w:tcPr>
            <w:tcW w:w="1374" w:type="dxa"/>
            <w:shd w:val="clear" w:color="auto" w:fill="FFFFFF" w:themeFill="background1"/>
          </w:tcPr>
          <w:p w14:paraId="51000E43" w14:textId="5F630B3E" w:rsidR="00BF0D8C" w:rsidRPr="00921944" w:rsidRDefault="00BF0D8C" w:rsidP="00BF0D8C">
            <w:pPr>
              <w:jc w:val="center"/>
              <w:cnfStyle w:val="000000010000" w:firstRow="0" w:lastRow="0" w:firstColumn="0" w:lastColumn="0" w:oddVBand="0" w:evenVBand="0" w:oddHBand="0" w:evenHBand="1" w:firstRowFirstColumn="0" w:firstRowLastColumn="0" w:lastRowFirstColumn="0" w:lastRowLastColumn="0"/>
              <w:rPr>
                <w:b/>
                <w:sz w:val="18"/>
                <w:szCs w:val="18"/>
                <w:lang w:val="en-US"/>
              </w:rPr>
            </w:pPr>
            <w:r>
              <w:rPr>
                <w:noProof/>
              </w:rPr>
              <w:drawing>
                <wp:inline distT="0" distB="0" distL="0" distR="0" wp14:anchorId="5C0E1041" wp14:editId="41AC9C36">
                  <wp:extent cx="461882" cy="477078"/>
                  <wp:effectExtent l="0" t="0" r="0" b="0"/>
                  <wp:docPr id="105" name="Picture 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shd w:val="clear" w:color="auto" w:fill="FFFFFF" w:themeFill="background1"/>
          </w:tcPr>
          <w:p w14:paraId="0A2FEF8B"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noProof/>
                <w:sz w:val="18"/>
                <w:szCs w:val="18"/>
                <w:lang w:val="en-US"/>
              </w:rPr>
            </w:pPr>
            <w:r w:rsidRPr="00921944">
              <w:rPr>
                <w:noProof/>
                <w:sz w:val="18"/>
                <w:szCs w:val="18"/>
                <w:lang w:val="en-US"/>
              </w:rPr>
              <w:t>Operational</w:t>
            </w:r>
          </w:p>
          <w:p w14:paraId="6C055ABF"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(First export shipment later this year)</w:t>
            </w:r>
          </w:p>
          <w:p w14:paraId="24773485"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sz w:val="18"/>
                <w:szCs w:val="18"/>
                <w:lang w:val="en-US"/>
              </w:rPr>
            </w:pPr>
          </w:p>
          <w:p w14:paraId="0C2691C9" w14:textId="77777777" w:rsidR="00BF0D8C" w:rsidRPr="00921944" w:rsidRDefault="00BF0D8C" w:rsidP="00BF0D8C">
            <w:pPr>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Final decision on proceeding towards commercial phase will be taken after assessing the outcomes of the pilot project, hydrogen demand and successful development of CCS technology.</w:t>
            </w:r>
          </w:p>
        </w:tc>
      </w:tr>
      <w:tr w:rsidR="00BF0D8C" w:rsidRPr="00921944" w14:paraId="790E5D29" w14:textId="77777777" w:rsidTr="00F74D8C">
        <w:tc>
          <w:tcPr>
            <w:cnfStyle w:val="001000000000" w:firstRow="0" w:lastRow="0" w:firstColumn="1" w:lastColumn="0" w:oddVBand="0" w:evenVBand="0" w:oddHBand="0" w:evenHBand="0" w:firstRowFirstColumn="0" w:firstRowLastColumn="0" w:lastRowFirstColumn="0" w:lastRowLastColumn="0"/>
            <w:tcW w:w="556" w:type="dxa"/>
          </w:tcPr>
          <w:p w14:paraId="0651A6C5" w14:textId="4CA6200A" w:rsidR="00BF0D8C" w:rsidRPr="00921944" w:rsidRDefault="00BF0D8C" w:rsidP="00BF0D8C">
            <w:pPr>
              <w:rPr>
                <w:bCs/>
                <w:sz w:val="18"/>
                <w:szCs w:val="18"/>
                <w:lang w:val="en-US"/>
              </w:rPr>
            </w:pPr>
            <w:r w:rsidRPr="00921944">
              <w:rPr>
                <w:bCs/>
                <w:sz w:val="18"/>
                <w:szCs w:val="18"/>
                <w:lang w:val="en-US"/>
              </w:rPr>
              <w:t>1</w:t>
            </w:r>
            <w:r w:rsidR="007A1DBD">
              <w:rPr>
                <w:bCs/>
                <w:sz w:val="18"/>
                <w:szCs w:val="18"/>
                <w:lang w:val="en-US"/>
              </w:rPr>
              <w:t>9</w:t>
            </w:r>
            <w:r w:rsidRPr="00921944">
              <w:rPr>
                <w:bCs/>
                <w:sz w:val="18"/>
                <w:szCs w:val="18"/>
                <w:lang w:val="en-US"/>
              </w:rPr>
              <w:t xml:space="preserve">. </w:t>
            </w:r>
          </w:p>
        </w:tc>
        <w:tc>
          <w:tcPr>
            <w:tcW w:w="3396" w:type="dxa"/>
          </w:tcPr>
          <w:p w14:paraId="05779103"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Portland Hydrogen Export Project</w:t>
            </w:r>
          </w:p>
          <w:p w14:paraId="5ED4F996" w14:textId="15426B00" w:rsidR="00BF0D8C" w:rsidRDefault="00BF0D8C" w:rsidP="00BF0D8C">
            <w:pPr>
              <w:spacing w:before="240" w:after="120"/>
              <w:ind w:right="153"/>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Portland Hydrogen Export Project has been proposed by the Glen</w:t>
            </w:r>
            <w:r>
              <w:rPr>
                <w:sz w:val="18"/>
                <w:szCs w:val="18"/>
                <w:lang w:val="en-US"/>
              </w:rPr>
              <w:t>el</w:t>
            </w:r>
            <w:r w:rsidRPr="00921944">
              <w:rPr>
                <w:sz w:val="18"/>
                <w:szCs w:val="18"/>
                <w:lang w:val="en-US"/>
              </w:rPr>
              <w:t>g Shire Council, Countrywide Renewable Hydrogen and Port of Portland for generating green ammonia using the area’s rich renewable resources.</w:t>
            </w:r>
            <w:r>
              <w:rPr>
                <w:sz w:val="18"/>
                <w:szCs w:val="18"/>
                <w:lang w:val="en-US"/>
              </w:rPr>
              <w:fldChar w:fldCharType="begin" w:fldLock="1"/>
            </w:r>
            <w:r w:rsidR="00D21B34">
              <w:rPr>
                <w:sz w:val="18"/>
                <w:szCs w:val="18"/>
                <w:lang w:val="en-US"/>
              </w:rPr>
              <w:instrText>ADDIN CSL_CITATION {"citationItems":[{"id":"ITEM-1","itemData":{"URL":"https://reneweconomy.com.au/consortium-proposes-80mw-solar-farm-and-green-hydrogen-facility-in-victoria-39922/","accessed":{"date-parts":[["2021","7","23"]]},"author":[{"dropping-particle":"","family":"Mazengarb","given":"Michael","non-dropping-particle":"","parse-names":false,"suffix":""}],"container-title":"RenewEconomy","id":"ITEM-1","issued":{"date-parts":[["2019"]]},"title":"Consortium proposes 80MW solar farm and green hydrogen facility in Victoria ","type":"webpage"},"uris":["http://www.mendeley.com/documents/?uuid=68f07bcb-7db8-3835-bd33-cf9c4ea32ea3"]}],"mendeley":{"formattedCitation":"&lt;sup&gt;45&lt;/sup&gt;","plainTextFormattedCitation":"45","previouslyFormattedCitation":"&lt;sup&gt;45&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45</w:t>
            </w:r>
            <w:r>
              <w:rPr>
                <w:sz w:val="18"/>
                <w:szCs w:val="18"/>
                <w:lang w:val="en-US"/>
              </w:rPr>
              <w:fldChar w:fldCharType="end"/>
            </w:r>
            <w:r w:rsidRPr="00921944">
              <w:rPr>
                <w:sz w:val="18"/>
                <w:szCs w:val="18"/>
                <w:lang w:val="en-US"/>
              </w:rPr>
              <w:t xml:space="preserve"> </w:t>
            </w:r>
          </w:p>
          <w:p w14:paraId="5702D177" w14:textId="65659993" w:rsidR="00BF0D8C" w:rsidRPr="00921944" w:rsidRDefault="00BF0D8C" w:rsidP="00BF0D8C">
            <w:pPr>
              <w:spacing w:before="240" w:after="120"/>
              <w:ind w:right="153"/>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project will host an 80 MW wind farm to power a 50 MW </w:t>
            </w:r>
            <w:r>
              <w:rPr>
                <w:sz w:val="18"/>
                <w:szCs w:val="18"/>
                <w:lang w:val="en-US"/>
              </w:rPr>
              <w:t>electrolyser</w:t>
            </w:r>
            <w:r w:rsidRPr="00921944">
              <w:rPr>
                <w:sz w:val="18"/>
                <w:szCs w:val="18"/>
                <w:lang w:val="en-US"/>
              </w:rPr>
              <w:t xml:space="preserve">. </w:t>
            </w:r>
            <w:r>
              <w:rPr>
                <w:sz w:val="18"/>
                <w:szCs w:val="18"/>
                <w:lang w:val="en-US"/>
              </w:rPr>
              <w:t>The hydrogen will then be exported to Asian markets (potentially as ammonia or liquid H</w:t>
            </w:r>
            <w:r w:rsidRPr="001462BE">
              <w:rPr>
                <w:sz w:val="18"/>
                <w:szCs w:val="18"/>
                <w:vertAlign w:val="subscript"/>
                <w:lang w:val="en-US"/>
              </w:rPr>
              <w:t>2</w:t>
            </w:r>
            <w:r>
              <w:rPr>
                <w:sz w:val="18"/>
                <w:szCs w:val="18"/>
                <w:lang w:val="en-US"/>
              </w:rPr>
              <w:t>) through the Port of Portland, with further options for local use by blending in natural gas network or for domestic fertilizer production being evaluated.</w:t>
            </w:r>
            <w:r>
              <w:rPr>
                <w:sz w:val="18"/>
                <w:szCs w:val="18"/>
                <w:lang w:val="en-US"/>
              </w:rPr>
              <w:fldChar w:fldCharType="begin" w:fldLock="1"/>
            </w:r>
            <w:r w:rsidR="00D21B34">
              <w:rPr>
                <w:sz w:val="18"/>
                <w:szCs w:val="18"/>
                <w:lang w:val="en-US"/>
              </w:rPr>
              <w:instrText>ADDIN CSL_CITATION {"citationItems":[{"id":"ITEM-1","itemData":{"URL":"https://research.csiro.au/hyresource/portland-renewable-hydrogen-project/","accessed":{"date-parts":[["2021","7","23"]]},"author":[{"dropping-particle":"","family":"CSIRO","given":"","non-dropping-particle":"","parse-names":false,"suffix":""}],"container-title":"HyResource","id":"ITEM-1","issued":{"date-parts":[["2021","7"]]},"title":"Portland Renewable Hydrogen Project ","type":"webpage"},"uris":["http://www.mendeley.com/documents/?uuid=b6e11816-80a4-3721-9f9c-238535ab0f22"]}],"mendeley":{"formattedCitation":"&lt;sup&gt;46&lt;/sup&gt;","plainTextFormattedCitation":"46","previouslyFormattedCitation":"&lt;sup&gt;46&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46</w:t>
            </w:r>
            <w:r>
              <w:rPr>
                <w:sz w:val="18"/>
                <w:szCs w:val="18"/>
                <w:lang w:val="en-US"/>
              </w:rPr>
              <w:fldChar w:fldCharType="end"/>
            </w:r>
          </w:p>
        </w:tc>
        <w:tc>
          <w:tcPr>
            <w:tcW w:w="1377" w:type="dxa"/>
          </w:tcPr>
          <w:p w14:paraId="222AB6F9" w14:textId="77777777" w:rsidR="00BF0D8C" w:rsidRPr="00921944" w:rsidRDefault="00BF0D8C" w:rsidP="00BF0D8C">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Portland, Vic</w:t>
            </w:r>
          </w:p>
        </w:tc>
        <w:tc>
          <w:tcPr>
            <w:tcW w:w="2059" w:type="dxa"/>
          </w:tcPr>
          <w:p w14:paraId="5BBA21C8" w14:textId="79B14573"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vertAlign w:val="subscript"/>
                <w:lang w:val="en-US"/>
              </w:rPr>
            </w:pPr>
            <w:r w:rsidRPr="00921944">
              <w:rPr>
                <w:bCs/>
                <w:sz w:val="18"/>
                <w:szCs w:val="18"/>
                <w:lang w:val="en-US"/>
              </w:rPr>
              <w:t>10</w:t>
            </w:r>
            <w:r>
              <w:rPr>
                <w:bCs/>
                <w:sz w:val="18"/>
                <w:szCs w:val="18"/>
                <w:lang w:val="en-US"/>
              </w:rPr>
              <w:t xml:space="preserve"> </w:t>
            </w:r>
            <w:proofErr w:type="spellStart"/>
            <w:r w:rsidRPr="00921944">
              <w:rPr>
                <w:bCs/>
                <w:sz w:val="18"/>
                <w:szCs w:val="18"/>
                <w:lang w:val="en-US"/>
              </w:rPr>
              <w:t>ktpa</w:t>
            </w:r>
            <w:proofErr w:type="spellEnd"/>
            <w:r w:rsidRPr="00921944">
              <w:rPr>
                <w:bCs/>
                <w:sz w:val="18"/>
                <w:szCs w:val="18"/>
                <w:lang w:val="en-US"/>
              </w:rPr>
              <w:t xml:space="preserve"> of H</w:t>
            </w:r>
            <w:r w:rsidRPr="00921944">
              <w:rPr>
                <w:bCs/>
                <w:sz w:val="18"/>
                <w:szCs w:val="18"/>
                <w:vertAlign w:val="subscript"/>
                <w:lang w:val="en-US"/>
              </w:rPr>
              <w:t xml:space="preserve">2 </w:t>
            </w:r>
          </w:p>
          <w:p w14:paraId="0EAEDFC2" w14:textId="7777D7D5"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bCs/>
                <w:sz w:val="18"/>
                <w:szCs w:val="18"/>
                <w:lang w:val="en-US"/>
              </w:rPr>
              <w:t xml:space="preserve">(50 MW </w:t>
            </w:r>
            <w:r>
              <w:rPr>
                <w:bCs/>
                <w:sz w:val="18"/>
                <w:szCs w:val="18"/>
                <w:lang w:val="en-US"/>
              </w:rPr>
              <w:t>electrolyser</w:t>
            </w:r>
            <w:r w:rsidRPr="00921944">
              <w:rPr>
                <w:bCs/>
                <w:sz w:val="18"/>
                <w:szCs w:val="18"/>
                <w:lang w:val="en-US"/>
              </w:rPr>
              <w:t>)</w:t>
            </w:r>
          </w:p>
        </w:tc>
        <w:tc>
          <w:tcPr>
            <w:tcW w:w="2064" w:type="dxa"/>
          </w:tcPr>
          <w:p w14:paraId="65CAD0BE"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Study</w:t>
            </w:r>
          </w:p>
          <w:p w14:paraId="30B6FCDD"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388" w:type="dxa"/>
          </w:tcPr>
          <w:p w14:paraId="770F7D14" w14:textId="77777777" w:rsidR="00BF0D8C" w:rsidRPr="00921944" w:rsidRDefault="00BF0D8C" w:rsidP="00BF0D8C">
            <w:pPr>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374" w:type="dxa"/>
          </w:tcPr>
          <w:p w14:paraId="283E5D75" w14:textId="2F548C7E" w:rsidR="00BF0D8C" w:rsidRPr="00921944" w:rsidRDefault="00BF0D8C" w:rsidP="00BF0D8C">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6547226E" wp14:editId="4F6B3848">
                  <wp:extent cx="461882" cy="477078"/>
                  <wp:effectExtent l="0" t="0" r="0" b="0"/>
                  <wp:docPr id="106" name="Picture 1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7B940846" w14:textId="77777777" w:rsidR="00BF0D8C" w:rsidRPr="00921944" w:rsidRDefault="00BF0D8C" w:rsidP="00BF0D8C">
            <w:pPr>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noProof/>
                <w:sz w:val="18"/>
                <w:szCs w:val="18"/>
                <w:lang w:val="en-US"/>
              </w:rPr>
              <w:t>Under development</w:t>
            </w:r>
          </w:p>
        </w:tc>
      </w:tr>
    </w:tbl>
    <w:p w14:paraId="5ABE52DB" w14:textId="77777777" w:rsidR="00CD0E8A" w:rsidRDefault="00CD0E8A">
      <w:r>
        <w:rPr>
          <w:b/>
        </w:rPr>
        <w:br w:type="page"/>
      </w:r>
    </w:p>
    <w:tbl>
      <w:tblPr>
        <w:tblStyle w:val="TableGrid"/>
        <w:tblW w:w="15015"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115"/>
        <w:gridCol w:w="38"/>
        <w:gridCol w:w="1582"/>
        <w:gridCol w:w="38"/>
        <w:gridCol w:w="2021"/>
        <w:gridCol w:w="38"/>
        <w:gridCol w:w="2026"/>
        <w:gridCol w:w="38"/>
        <w:gridCol w:w="1388"/>
        <w:gridCol w:w="1302"/>
        <w:gridCol w:w="72"/>
        <w:gridCol w:w="2801"/>
      </w:tblGrid>
      <w:tr w:rsidR="00C039E1" w:rsidRPr="00921944" w14:paraId="53F9F53D" w14:textId="77777777" w:rsidTr="00F867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13"/>
            <w:shd w:val="clear" w:color="auto" w:fill="737373" w:themeFill="text2"/>
          </w:tcPr>
          <w:p w14:paraId="3718F84A" w14:textId="63A56270" w:rsidR="00C039E1" w:rsidRPr="00921944" w:rsidRDefault="00C039E1" w:rsidP="00BA2C8B">
            <w:pPr>
              <w:spacing w:before="120" w:after="120"/>
              <w:rPr>
                <w:noProof/>
                <w:color w:val="FFFFFF" w:themeColor="background1"/>
                <w:sz w:val="18"/>
                <w:szCs w:val="18"/>
                <w:lang w:val="en-US"/>
              </w:rPr>
            </w:pPr>
            <w:r w:rsidRPr="00921944">
              <w:rPr>
                <w:noProof/>
                <w:color w:val="FFFFFF" w:themeColor="background1"/>
                <w:sz w:val="18"/>
                <w:szCs w:val="18"/>
                <w:lang w:val="en-US"/>
              </w:rPr>
              <w:lastRenderedPageBreak/>
              <w:t>Tasmania</w:t>
            </w:r>
          </w:p>
        </w:tc>
      </w:tr>
      <w:tr w:rsidR="002800B9" w:rsidRPr="00921944" w14:paraId="7F31F342"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37421481" w14:textId="4334ABBE" w:rsidR="00C039E1" w:rsidRPr="00921944" w:rsidRDefault="007A1DBD" w:rsidP="00BA2C8B">
            <w:pPr>
              <w:rPr>
                <w:bCs/>
                <w:sz w:val="18"/>
                <w:szCs w:val="18"/>
                <w:lang w:val="en-US"/>
              </w:rPr>
            </w:pPr>
            <w:r>
              <w:rPr>
                <w:bCs/>
                <w:sz w:val="18"/>
                <w:szCs w:val="18"/>
                <w:lang w:val="en-US"/>
              </w:rPr>
              <w:t>20</w:t>
            </w:r>
            <w:r w:rsidR="00C039E1" w:rsidRPr="00921944">
              <w:rPr>
                <w:bCs/>
                <w:sz w:val="18"/>
                <w:szCs w:val="18"/>
                <w:lang w:val="en-US"/>
              </w:rPr>
              <w:t>.</w:t>
            </w:r>
          </w:p>
        </w:tc>
        <w:tc>
          <w:tcPr>
            <w:tcW w:w="3153" w:type="dxa"/>
            <w:gridSpan w:val="2"/>
          </w:tcPr>
          <w:p w14:paraId="7D196F8D" w14:textId="3DBAB808" w:rsidR="00C039E1" w:rsidRDefault="00C039E1" w:rsidP="00477B3B">
            <w:pPr>
              <w:pStyle w:val="ListParagraph"/>
              <w:ind w:left="0"/>
              <w:cnfStyle w:val="000000000000" w:firstRow="0" w:lastRow="0" w:firstColumn="0" w:lastColumn="0" w:oddVBand="0" w:evenVBand="0" w:oddHBand="0" w:evenHBand="0" w:firstRowFirstColumn="0" w:firstRowLastColumn="0" w:lastRowFirstColumn="0" w:lastRowLastColumn="0"/>
              <w:rPr>
                <w:b/>
                <w:bCs/>
                <w:sz w:val="18"/>
                <w:szCs w:val="18"/>
              </w:rPr>
            </w:pPr>
            <w:r w:rsidRPr="00921944">
              <w:rPr>
                <w:b/>
                <w:bCs/>
                <w:sz w:val="18"/>
                <w:szCs w:val="18"/>
              </w:rPr>
              <w:t xml:space="preserve">Fortescue Metal Group Green Ammonia Plant </w:t>
            </w:r>
          </w:p>
          <w:p w14:paraId="636068BD" w14:textId="48963B3B" w:rsidR="00477B3B" w:rsidRDefault="00C039E1" w:rsidP="00477B3B">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Fortescue Metal Group is investigating the development of a green </w:t>
            </w:r>
            <w:r w:rsidR="006675D9">
              <w:rPr>
                <w:sz w:val="18"/>
                <w:szCs w:val="18"/>
                <w:lang w:val="en-US"/>
              </w:rPr>
              <w:t>a</w:t>
            </w:r>
            <w:r w:rsidRPr="00921944">
              <w:rPr>
                <w:sz w:val="18"/>
                <w:szCs w:val="18"/>
                <w:lang w:val="en-US"/>
              </w:rPr>
              <w:t>mmonia plant in the Bell Bay industrial precinct in Tasmania with a vision of a 250 MW green hydrogen plant capable of producing 250,000 tonnes per annum</w:t>
            </w:r>
            <w:r w:rsidR="008C0DE9">
              <w:rPr>
                <w:sz w:val="18"/>
                <w:szCs w:val="18"/>
                <w:lang w:val="en-US"/>
              </w:rPr>
              <w:t xml:space="preserve"> of H</w:t>
            </w:r>
            <w:r w:rsidR="008C0DE9" w:rsidRPr="008C0DE9">
              <w:rPr>
                <w:sz w:val="18"/>
                <w:szCs w:val="18"/>
                <w:vertAlign w:val="subscript"/>
                <w:lang w:val="en-US"/>
              </w:rPr>
              <w:t>2</w:t>
            </w:r>
            <w:r w:rsidRPr="00921944">
              <w:rPr>
                <w:sz w:val="18"/>
                <w:szCs w:val="18"/>
                <w:lang w:val="en-US"/>
              </w:rPr>
              <w:t>.</w:t>
            </w:r>
            <w:r w:rsidRPr="00921944">
              <w:rPr>
                <w:sz w:val="18"/>
                <w:szCs w:val="18"/>
                <w:lang w:val="en-US"/>
              </w:rPr>
              <w:fldChar w:fldCharType="begin" w:fldLock="1"/>
            </w:r>
            <w:r w:rsidR="00D21B34">
              <w:rPr>
                <w:sz w:val="18"/>
                <w:szCs w:val="18"/>
                <w:lang w:val="en-US"/>
              </w:rPr>
              <w:instrText>ADDIN CSL_CITATION {"citationItems":[{"id":"ITEM-1","itemData":{"URL":"https://www.fmgl.com.au/in-the-news/media-releases/2020/11/17/fortescue-announces-development-study-into-green-ammonia-plant-in-tasmania","accessed":{"date-parts":[["2021","2","11"]]},"id":"ITEM-1","issued":{"date-parts":[["0"]]},"title":"Fortescue announces development study into green ammonia plant in Tasmania | Fortescue Metals Group Ltd","type":"webpage"},"uris":["http://www.mendeley.com/documents/?uuid=4eed7350-bb83-3c87-bfd5-a9749e7a82bd","http://www.mendeley.com/documents/?uuid=492efa5d-2d3c-4197-a4d9-d2772768b826"]}],"mendeley":{"formattedCitation":"&lt;sup&gt;47&lt;/sup&gt;","plainTextFormattedCitation":"47","previouslyFormattedCitation":"&lt;sup&gt;47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47</w:t>
            </w:r>
            <w:r w:rsidRPr="00921944">
              <w:rPr>
                <w:sz w:val="18"/>
                <w:szCs w:val="18"/>
                <w:lang w:val="en-US"/>
              </w:rPr>
              <w:fldChar w:fldCharType="end"/>
            </w:r>
            <w:r w:rsidRPr="00921944">
              <w:rPr>
                <w:sz w:val="18"/>
                <w:szCs w:val="18"/>
                <w:lang w:val="en-US"/>
              </w:rPr>
              <w:t xml:space="preserve"> </w:t>
            </w:r>
          </w:p>
          <w:p w14:paraId="53D97A7E" w14:textId="5CB127F2" w:rsidR="00C039E1" w:rsidRPr="00921944" w:rsidRDefault="00C039E1" w:rsidP="00477B3B">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An investment decision is targeted for 2021 with a projected cost of up to $500 million.</w:t>
            </w:r>
            <w:r w:rsidR="007F32AE">
              <w:rPr>
                <w:sz w:val="18"/>
                <w:szCs w:val="18"/>
                <w:lang w:val="en-US"/>
              </w:rPr>
              <w:fldChar w:fldCharType="begin" w:fldLock="1"/>
            </w:r>
            <w:r w:rsidR="00D21B34">
              <w:rPr>
                <w:sz w:val="18"/>
                <w:szCs w:val="18"/>
                <w:lang w:val="en-US"/>
              </w:rPr>
              <w:instrText>ADDIN CSL_CITATION {"citationItems":[{"id":"ITEM-1","itemData":{"URL":"https://www.afr.com/companies/energy/origin-fortescue-in-rival-hydrogen-projects-in-tasmania-20201117-p56f76","accessed":{"date-parts":[["2021","3","23"]]},"author":[{"dropping-particle":"","family":"Macdonald-smith","given":"Angela","non-dropping-particle":"","parse-names":false,"suffix":""},{"dropping-particle":"","family":"Thompson","given":"Brad","non-dropping-particle":"","parse-names":false,"suffix":""}],"container-title":"Australian Financial Review","id":"ITEM-1","issued":{"date-parts":[["2020"]]},"title":"Origin, Fortescue in rival hydrogen projects in Tasmania","type":"webpage"},"uris":["http://www.mendeley.com/documents/?uuid=9a64e8f1-ad89-425e-8aa5-7eff9d10adc7"]}],"mendeley":{"formattedCitation":"&lt;sup&gt;48&lt;/sup&gt;","plainTextFormattedCitation":"48","previouslyFormattedCitation":"&lt;sup&gt;48&lt;/sup&gt;"},"properties":{"noteIndex":0},"schema":"https://github.com/citation-style-language/schema/raw/master/csl-citation.json"}</w:instrText>
            </w:r>
            <w:r w:rsidR="007F32AE">
              <w:rPr>
                <w:sz w:val="18"/>
                <w:szCs w:val="18"/>
                <w:lang w:val="en-US"/>
              </w:rPr>
              <w:fldChar w:fldCharType="separate"/>
            </w:r>
            <w:r w:rsidR="00C3381F" w:rsidRPr="00C3381F">
              <w:rPr>
                <w:noProof/>
                <w:sz w:val="18"/>
                <w:szCs w:val="18"/>
                <w:vertAlign w:val="superscript"/>
                <w:lang w:val="en-US"/>
              </w:rPr>
              <w:t>48</w:t>
            </w:r>
            <w:r w:rsidR="007F32AE">
              <w:rPr>
                <w:sz w:val="18"/>
                <w:szCs w:val="18"/>
                <w:lang w:val="en-US"/>
              </w:rPr>
              <w:fldChar w:fldCharType="end"/>
            </w:r>
            <w:r w:rsidR="00342860" w:rsidRPr="00921944">
              <w:rPr>
                <w:sz w:val="18"/>
                <w:szCs w:val="18"/>
                <w:lang w:val="en-US"/>
              </w:rPr>
              <w:t xml:space="preserve"> </w:t>
            </w:r>
            <w:r w:rsidRPr="00921944">
              <w:rPr>
                <w:sz w:val="18"/>
                <w:szCs w:val="18"/>
                <w:lang w:val="en-US"/>
              </w:rPr>
              <w:t>Fortescue are in partnership with the CSIRO working on a “world first membrane technology” for large scale hydrogen extraction from ammonia.</w:t>
            </w:r>
            <w:r w:rsidRPr="00921944">
              <w:rPr>
                <w:sz w:val="18"/>
                <w:szCs w:val="18"/>
                <w:lang w:val="en-US"/>
              </w:rPr>
              <w:fldChar w:fldCharType="begin" w:fldLock="1"/>
            </w:r>
            <w:r w:rsidR="00D21B34">
              <w:rPr>
                <w:sz w:val="18"/>
                <w:szCs w:val="18"/>
                <w:lang w:val="en-US"/>
              </w:rPr>
              <w:instrText>ADDIN CSL_CITATION {"citationItems":[{"id":"ITEM-1","itemData":{"URL":"https://www.fmgl.com.au/in-the-news/media-releases/2020/11/17/fortescue-announces-development-study-into-green-ammonia-plant-in-tasmania","accessed":{"date-parts":[["2021","2","11"]]},"id":"ITEM-1","issued":{"date-parts":[["0"]]},"title":"Fortescue announces development study into green ammonia plant in Tasmania | Fortescue Metals Group Ltd","type":"webpage"},"uris":["http://www.mendeley.com/documents/?uuid=492efa5d-2d3c-4197-a4d9-d2772768b826","http://www.mendeley.com/documents/?uuid=4eed7350-bb83-3c87-bfd5-a9749e7a82bd"]}],"mendeley":{"formattedCitation":"&lt;sup&gt;47&lt;/sup&gt;","plainTextFormattedCitation":"47","previouslyFormattedCitation":"&lt;sup&gt;47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47</w:t>
            </w:r>
            <w:r w:rsidRPr="00921944">
              <w:rPr>
                <w:sz w:val="18"/>
                <w:szCs w:val="18"/>
                <w:lang w:val="en-US"/>
              </w:rPr>
              <w:fldChar w:fldCharType="end"/>
            </w:r>
            <w:r w:rsidRPr="00921944">
              <w:rPr>
                <w:sz w:val="18"/>
                <w:szCs w:val="18"/>
                <w:lang w:val="en-US"/>
              </w:rPr>
              <w:t xml:space="preserve">  </w:t>
            </w:r>
          </w:p>
        </w:tc>
        <w:tc>
          <w:tcPr>
            <w:tcW w:w="1620" w:type="dxa"/>
            <w:gridSpan w:val="2"/>
          </w:tcPr>
          <w:p w14:paraId="593D20CB" w14:textId="77777777" w:rsidR="00C039E1" w:rsidRPr="00921944" w:rsidRDefault="00C039E1" w:rsidP="00BA2C8B">
            <w:pPr>
              <w:pStyle w:val="ListParagraph"/>
              <w:tabs>
                <w:tab w:val="clear" w:pos="357"/>
                <w:tab w:val="left" w:pos="0"/>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Bell Bay Precinct,</w:t>
            </w:r>
          </w:p>
          <w:p w14:paraId="493230FA" w14:textId="77777777" w:rsidR="00C039E1" w:rsidRPr="00921944" w:rsidRDefault="00C039E1" w:rsidP="00BA2C8B">
            <w:pPr>
              <w:pStyle w:val="ListParagraph"/>
              <w:tabs>
                <w:tab w:val="clear" w:pos="357"/>
                <w:tab w:val="left" w:pos="0"/>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Tas.</w:t>
            </w:r>
          </w:p>
          <w:p w14:paraId="4BC2D271"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62AE2419"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0770FFD"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B566732"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415FDAA8"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CCE60E5"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59A97EFA"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01CB3C04"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D905224"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4105161"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39ABAD80" w14:textId="77777777"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p w14:paraId="191FF09A" w14:textId="58A95CB1" w:rsidR="00921944" w:rsidRPr="00921944" w:rsidRDefault="00921944" w:rsidP="00921944">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2059" w:type="dxa"/>
            <w:gridSpan w:val="2"/>
          </w:tcPr>
          <w:p w14:paraId="4B42A446" w14:textId="77777777" w:rsidR="00C039E1" w:rsidRDefault="00C039E1" w:rsidP="00BA2C8B">
            <w:pPr>
              <w:cnfStyle w:val="000000000000" w:firstRow="0" w:lastRow="0" w:firstColumn="0" w:lastColumn="0" w:oddVBand="0" w:evenVBand="0" w:oddHBand="0" w:evenHBand="0" w:firstRowFirstColumn="0" w:firstRowLastColumn="0" w:lastRowFirstColumn="0" w:lastRowLastColumn="0"/>
              <w:rPr>
                <w:bCs/>
                <w:sz w:val="18"/>
                <w:szCs w:val="18"/>
                <w:lang w:val="en-US"/>
              </w:rPr>
            </w:pPr>
            <w:r w:rsidRPr="00921944">
              <w:rPr>
                <w:sz w:val="18"/>
                <w:szCs w:val="18"/>
                <w:lang w:val="en-US"/>
              </w:rPr>
              <w:t>250ktpa</w:t>
            </w:r>
            <w:r w:rsidR="008C0DE9">
              <w:rPr>
                <w:sz w:val="18"/>
                <w:szCs w:val="18"/>
                <w:lang w:val="en-US"/>
              </w:rPr>
              <w:t xml:space="preserve"> </w:t>
            </w:r>
            <w:r w:rsidR="008C0DE9" w:rsidRPr="00921944">
              <w:rPr>
                <w:bCs/>
                <w:sz w:val="18"/>
                <w:szCs w:val="18"/>
                <w:lang w:val="en-US"/>
              </w:rPr>
              <w:t>of H</w:t>
            </w:r>
            <w:r w:rsidR="008C0DE9" w:rsidRPr="00921944">
              <w:rPr>
                <w:bCs/>
                <w:sz w:val="18"/>
                <w:szCs w:val="18"/>
                <w:vertAlign w:val="subscript"/>
                <w:lang w:val="en-US"/>
              </w:rPr>
              <w:t>2</w:t>
            </w:r>
          </w:p>
          <w:p w14:paraId="795E0A26" w14:textId="3DFB3DCD" w:rsidR="00C039E1" w:rsidRPr="00921944" w:rsidRDefault="008C0DE9" w:rsidP="00BA2C8B">
            <w:pPr>
              <w:cnfStyle w:val="000000000000" w:firstRow="0" w:lastRow="0" w:firstColumn="0" w:lastColumn="0" w:oddVBand="0" w:evenVBand="0" w:oddHBand="0" w:evenHBand="0" w:firstRowFirstColumn="0" w:firstRowLastColumn="0" w:lastRowFirstColumn="0" w:lastRowLastColumn="0"/>
              <w:rPr>
                <w:bCs/>
                <w:sz w:val="18"/>
                <w:szCs w:val="18"/>
                <w:lang w:val="en-US"/>
              </w:rPr>
            </w:pPr>
            <w:r>
              <w:rPr>
                <w:bCs/>
                <w:sz w:val="18"/>
                <w:szCs w:val="18"/>
                <w:lang w:val="en-US"/>
              </w:rPr>
              <w:t>(250 MW electrolyser)</w:t>
            </w:r>
          </w:p>
        </w:tc>
        <w:tc>
          <w:tcPr>
            <w:tcW w:w="2064" w:type="dxa"/>
            <w:gridSpan w:val="2"/>
          </w:tcPr>
          <w:p w14:paraId="27B85B94" w14:textId="77777777" w:rsidR="00C039E1" w:rsidRPr="00921944" w:rsidRDefault="00C039E1"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Study</w:t>
            </w:r>
          </w:p>
          <w:p w14:paraId="669DF556" w14:textId="77777777" w:rsidR="00C039E1" w:rsidRPr="00921944" w:rsidRDefault="00C039E1"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388" w:type="dxa"/>
          </w:tcPr>
          <w:p w14:paraId="54D9C366" w14:textId="243FC708" w:rsidR="00C039E1" w:rsidRPr="00921944" w:rsidRDefault="28449894" w:rsidP="00BA2C8B">
            <w:pPr>
              <w:pStyle w:val="ListParagraph"/>
              <w:ind w:left="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3C1F1B30" wp14:editId="642A629D">
                  <wp:extent cx="461882" cy="477078"/>
                  <wp:effectExtent l="0" t="0" r="0" b="0"/>
                  <wp:docPr id="107" name="Picture 1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p w14:paraId="412A141E" w14:textId="77777777" w:rsidR="00C039E1" w:rsidRPr="00921944" w:rsidRDefault="00C039E1" w:rsidP="00BA2C8B">
            <w:pPr>
              <w:pStyle w:val="ListParagraph"/>
              <w:ind w:left="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p w14:paraId="0652AA9A" w14:textId="77777777" w:rsidR="00C039E1" w:rsidRPr="00921944" w:rsidRDefault="00C039E1" w:rsidP="00BA2C8B">
            <w:pPr>
              <w:pStyle w:val="ListParagraph"/>
              <w:ind w:left="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p>
          <w:p w14:paraId="2C679869" w14:textId="77777777" w:rsidR="00C039E1" w:rsidRPr="00921944" w:rsidRDefault="00C039E1" w:rsidP="00BA2C8B">
            <w:pPr>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1374" w:type="dxa"/>
            <w:gridSpan w:val="2"/>
          </w:tcPr>
          <w:p w14:paraId="1D4EAC0B" w14:textId="48704849" w:rsidR="00C039E1" w:rsidRPr="00921944" w:rsidRDefault="28449894" w:rsidP="00BA2C8B">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3C879A04" wp14:editId="4FBFCB7B">
                  <wp:extent cx="461882" cy="477078"/>
                  <wp:effectExtent l="0" t="0" r="0" b="0"/>
                  <wp:docPr id="108"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6E2AE8CD" w14:textId="77777777" w:rsidR="00C039E1" w:rsidRPr="00921944" w:rsidRDefault="00C039E1" w:rsidP="00BA2C8B">
            <w:pPr>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sz w:val="18"/>
                <w:szCs w:val="18"/>
                <w:lang w:val="en-US"/>
              </w:rPr>
              <w:t>Under development</w:t>
            </w:r>
          </w:p>
        </w:tc>
      </w:tr>
      <w:tr w:rsidR="00CD0E8A" w:rsidRPr="00921944" w14:paraId="0DE2A7A1"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69DCCCE8" w14:textId="7727C8A3" w:rsidR="00CD0E8A" w:rsidRPr="00921944" w:rsidRDefault="007A1DBD" w:rsidP="00CD0E8A">
            <w:pPr>
              <w:rPr>
                <w:bCs/>
                <w:sz w:val="18"/>
                <w:szCs w:val="18"/>
                <w:lang w:val="en-US"/>
              </w:rPr>
            </w:pPr>
            <w:r>
              <w:rPr>
                <w:bCs/>
                <w:sz w:val="18"/>
                <w:szCs w:val="18"/>
                <w:lang w:val="en-US"/>
              </w:rPr>
              <w:t>21</w:t>
            </w:r>
            <w:r w:rsidR="00CD0E8A" w:rsidRPr="00921944">
              <w:rPr>
                <w:bCs/>
                <w:sz w:val="18"/>
                <w:szCs w:val="18"/>
                <w:lang w:val="en-US"/>
              </w:rPr>
              <w:t>.</w:t>
            </w:r>
          </w:p>
        </w:tc>
        <w:tc>
          <w:tcPr>
            <w:tcW w:w="3153" w:type="dxa"/>
            <w:gridSpan w:val="2"/>
            <w:shd w:val="clear" w:color="auto" w:fill="FFFFFF" w:themeFill="background1"/>
          </w:tcPr>
          <w:p w14:paraId="733979D6" w14:textId="77777777" w:rsidR="00CD0E8A" w:rsidRPr="00921944" w:rsidRDefault="00CD0E8A" w:rsidP="00CD0E8A">
            <w:pPr>
              <w:pStyle w:val="ListParagraph"/>
              <w:keepNext/>
              <w:widowControl w:val="0"/>
              <w:ind w:left="0" w:right="153"/>
              <w:cnfStyle w:val="000000010000" w:firstRow="0" w:lastRow="0" w:firstColumn="0" w:lastColumn="0" w:oddVBand="0" w:evenVBand="0" w:oddHBand="0" w:evenHBand="1" w:firstRowFirstColumn="0" w:firstRowLastColumn="0" w:lastRowFirstColumn="0" w:lastRowLastColumn="0"/>
              <w:rPr>
                <w:b/>
                <w:bCs/>
                <w:sz w:val="18"/>
                <w:szCs w:val="18"/>
              </w:rPr>
            </w:pPr>
            <w:r w:rsidRPr="00921944">
              <w:rPr>
                <w:b/>
                <w:bCs/>
                <w:sz w:val="18"/>
                <w:szCs w:val="18"/>
              </w:rPr>
              <w:t xml:space="preserve">ABEL Energy Bell Bay </w:t>
            </w:r>
            <w:proofErr w:type="spellStart"/>
            <w:r w:rsidRPr="00921944">
              <w:rPr>
                <w:b/>
                <w:bCs/>
                <w:sz w:val="18"/>
                <w:szCs w:val="18"/>
              </w:rPr>
              <w:t>Powerfuels</w:t>
            </w:r>
            <w:proofErr w:type="spellEnd"/>
            <w:r w:rsidRPr="00921944">
              <w:rPr>
                <w:b/>
                <w:bCs/>
                <w:sz w:val="18"/>
                <w:szCs w:val="18"/>
              </w:rPr>
              <w:t xml:space="preserve"> Project</w:t>
            </w:r>
          </w:p>
          <w:p w14:paraId="7F03F662" w14:textId="1D0E133F" w:rsidR="00CD0E8A" w:rsidRDefault="00CD0E8A" w:rsidP="00CD0E8A">
            <w:pPr>
              <w:keepNext/>
              <w:widowControl w:val="0"/>
              <w:spacing w:before="240" w:after="120"/>
              <w:ind w:right="153"/>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 xml:space="preserve">ABEL Energy is partnering up with Thyssenkrupp </w:t>
            </w:r>
            <w:r>
              <w:rPr>
                <w:sz w:val="18"/>
                <w:szCs w:val="18"/>
              </w:rPr>
              <w:t xml:space="preserve">to </w:t>
            </w:r>
            <w:r w:rsidRPr="00921944">
              <w:rPr>
                <w:sz w:val="18"/>
                <w:szCs w:val="18"/>
              </w:rPr>
              <w:t xml:space="preserve"> </w:t>
            </w:r>
            <w:r>
              <w:rPr>
                <w:sz w:val="18"/>
                <w:szCs w:val="18"/>
              </w:rPr>
              <w:t xml:space="preserve">develop </w:t>
            </w:r>
            <w:r w:rsidRPr="00921944">
              <w:rPr>
                <w:sz w:val="18"/>
                <w:szCs w:val="18"/>
              </w:rPr>
              <w:t>a large-scale hydrogen</w:t>
            </w:r>
            <w:r>
              <w:rPr>
                <w:sz w:val="18"/>
                <w:szCs w:val="18"/>
              </w:rPr>
              <w:t xml:space="preserve"> electrolyser (100 MW)</w:t>
            </w:r>
            <w:r w:rsidRPr="00921944">
              <w:rPr>
                <w:sz w:val="18"/>
                <w:szCs w:val="18"/>
              </w:rPr>
              <w:t xml:space="preserve"> and e-methanol production facility to produce 60,000 t yr</w:t>
            </w:r>
            <w:r w:rsidRPr="00921944">
              <w:rPr>
                <w:sz w:val="18"/>
                <w:szCs w:val="18"/>
                <w:vertAlign w:val="superscript"/>
              </w:rPr>
              <w:t xml:space="preserve">-1 </w:t>
            </w:r>
            <w:r w:rsidRPr="00921944">
              <w:rPr>
                <w:sz w:val="18"/>
                <w:szCs w:val="18"/>
              </w:rPr>
              <w:t>methanol,.</w:t>
            </w:r>
            <w:r>
              <w:rPr>
                <w:sz w:val="18"/>
                <w:szCs w:val="18"/>
              </w:rPr>
              <w:fldChar w:fldCharType="begin" w:fldLock="1"/>
            </w:r>
            <w:r w:rsidR="00D21B34">
              <w:rPr>
                <w:sz w:val="18"/>
                <w:szCs w:val="18"/>
              </w:rPr>
              <w:instrText>ADDIN CSL_CITATION {"citationItems":[{"id":"ITEM-1","itemData":{"URL":"https://research.csiro.au/hyresource/abel-energy-bell-bay-powerfuels-project/","accessed":{"date-parts":[["2021","3","23"]]},"author":[{"dropping-particle":"","family":"CSIRO","given":"","non-dropping-particle":"","parse-names":false,"suffix":""}],"container-title":"HyResource","id":"ITEM-1","issued":{"date-parts":[["2020"]]},"title":"ABEL Energy Bell Bay Powerfuels Project","type":"webpage"},"uris":["http://www.mendeley.com/documents/?uuid=3bb61fe4-067a-4571-8d34-de10edba5a69"]}],"mendeley":{"formattedCitation":"&lt;sup&gt;49&lt;/sup&gt;","plainTextFormattedCitation":"49","previouslyFormattedCitation":"&lt;sup&gt;49&lt;/sup&gt;"},"properties":{"noteIndex":0},"schema":"https://github.com/citation-style-language/schema/raw/master/csl-citation.json"}</w:instrText>
            </w:r>
            <w:r>
              <w:rPr>
                <w:sz w:val="18"/>
                <w:szCs w:val="18"/>
              </w:rPr>
              <w:fldChar w:fldCharType="separate"/>
            </w:r>
            <w:r w:rsidR="00C3381F" w:rsidRPr="00C3381F">
              <w:rPr>
                <w:noProof/>
                <w:sz w:val="18"/>
                <w:szCs w:val="18"/>
                <w:vertAlign w:val="superscript"/>
              </w:rPr>
              <w:t>49</w:t>
            </w:r>
            <w:r>
              <w:rPr>
                <w:sz w:val="18"/>
                <w:szCs w:val="18"/>
              </w:rPr>
              <w:fldChar w:fldCharType="end"/>
            </w:r>
            <w:r>
              <w:rPr>
                <w:sz w:val="18"/>
                <w:szCs w:val="18"/>
              </w:rPr>
              <w:t xml:space="preserve"> The CO</w:t>
            </w:r>
            <w:r w:rsidRPr="00AF4F29">
              <w:rPr>
                <w:sz w:val="18"/>
                <w:szCs w:val="18"/>
                <w:vertAlign w:val="subscript"/>
              </w:rPr>
              <w:t>2</w:t>
            </w:r>
            <w:r>
              <w:rPr>
                <w:sz w:val="18"/>
                <w:szCs w:val="18"/>
              </w:rPr>
              <w:t xml:space="preserve"> feedstock will be sourced from the local wood waste or from Direct Air Capture (DAC). A further small-scale methanol to di methyl ether (DME) plant is also planned, for local industry.</w:t>
            </w:r>
          </w:p>
          <w:p w14:paraId="56ADD864" w14:textId="15B38462" w:rsidR="00CD0E8A" w:rsidRPr="00921944" w:rsidRDefault="00CD0E8A" w:rsidP="00CD0E8A">
            <w:pPr>
              <w:pStyle w:val="ListParagraph"/>
              <w:ind w:left="0"/>
              <w:cnfStyle w:val="000000010000" w:firstRow="0" w:lastRow="0" w:firstColumn="0" w:lastColumn="0" w:oddVBand="0" w:evenVBand="0" w:oddHBand="0" w:evenHBand="1" w:firstRowFirstColumn="0" w:firstRowLastColumn="0" w:lastRowFirstColumn="0" w:lastRowLastColumn="0"/>
              <w:rPr>
                <w:b/>
                <w:bCs/>
                <w:sz w:val="18"/>
                <w:szCs w:val="18"/>
              </w:rPr>
            </w:pPr>
            <w:r>
              <w:rPr>
                <w:sz w:val="18"/>
                <w:szCs w:val="18"/>
              </w:rPr>
              <w:t>The feasibility study for the project was conducted in 2020 with the support of funding from Tasmanian Government.</w:t>
            </w:r>
            <w:r>
              <w:rPr>
                <w:sz w:val="18"/>
                <w:szCs w:val="18"/>
              </w:rPr>
              <w:fldChar w:fldCharType="begin" w:fldLock="1"/>
            </w:r>
            <w:r w:rsidR="00D21B34">
              <w:rPr>
                <w:sz w:val="18"/>
                <w:szCs w:val="18"/>
              </w:rPr>
              <w:instrText>ADDIN CSL_CITATION {"citationItems":[{"id":"ITEM-1","itemData":{"URL":"https://www.spglobal.com/platts/en/market-insights/latest-news/metals/111720-tasmania-chooses-four-companies-for-new-green-hydrogen-studies","accessed":{"date-parts":[["2021","7","23"]]},"author":[{"dropping-particle":"","family":"S&amp;P Global Platts","given":"","non-dropping-particle":"","parse-names":false,"suffix":""}],"container-title":"Market Insights","id":"ITEM-1","issued":{"date-parts":[["2020"]]},"title":"Tasmania chooses four companies for new green hydrogen studies","type":"webpage"},"uris":["http://www.mendeley.com/documents/?uuid=ab6edec5-c50a-3c44-8d1f-de35132ffb03"]}],"mendeley":{"formattedCitation":"&lt;sup&gt;50&lt;/sup&gt;","plainTextFormattedCitation":"50","previouslyFormattedCitation":"&lt;sup&gt;50&lt;/sup&gt;"},"properties":{"noteIndex":0},"schema":"https://github.com/citation-style-language/schema/raw/master/csl-citation.json"}</w:instrText>
            </w:r>
            <w:r>
              <w:rPr>
                <w:sz w:val="18"/>
                <w:szCs w:val="18"/>
              </w:rPr>
              <w:fldChar w:fldCharType="separate"/>
            </w:r>
            <w:r w:rsidR="00C3381F" w:rsidRPr="00C3381F">
              <w:rPr>
                <w:noProof/>
                <w:sz w:val="18"/>
                <w:szCs w:val="18"/>
                <w:vertAlign w:val="superscript"/>
              </w:rPr>
              <w:t>50</w:t>
            </w:r>
            <w:r>
              <w:rPr>
                <w:sz w:val="18"/>
                <w:szCs w:val="18"/>
              </w:rPr>
              <w:fldChar w:fldCharType="end"/>
            </w:r>
            <w:r>
              <w:rPr>
                <w:sz w:val="18"/>
                <w:szCs w:val="18"/>
              </w:rPr>
              <w:t xml:space="preserve"> The production is expected by 2024.</w:t>
            </w:r>
            <w:r>
              <w:rPr>
                <w:sz w:val="18"/>
                <w:szCs w:val="18"/>
              </w:rPr>
              <w:fldChar w:fldCharType="begin" w:fldLock="1"/>
            </w:r>
            <w:r w:rsidR="00D21B34">
              <w:rPr>
                <w:sz w:val="18"/>
                <w:szCs w:val="18"/>
              </w:rPr>
              <w:instrText>ADDIN CSL_CITATION {"citationItems":[{"id":"ITEM-1","itemData":{"URL":"https://www.abelenergy.com.au/our-projects","accessed":{"date-parts":[["2021","3","22"]]},"author":[{"dropping-particle":"","family":"ABEL Energy","given":"","non-dropping-particle":"","parse-names":false,"suffix":""}],"id":"ITEM-1","issued":{"date-parts":[["0"]]},"title":"Bell Bay Power Fuels Project","type":"webpage"},"uris":["http://www.mendeley.com/documents/?uuid=f79469fb-666e-43e7-b2bd-d5cd2a6df851"]}],"mendeley":{"formattedCitation":"&lt;sup&gt;51&lt;/sup&gt;","plainTextFormattedCitation":"51","previouslyFormattedCitation":"&lt;sup&gt;51&lt;/sup&gt;"},"properties":{"noteIndex":0},"schema":"https://github.com/citation-style-language/schema/raw/master/csl-citation.json"}</w:instrText>
            </w:r>
            <w:r>
              <w:rPr>
                <w:sz w:val="18"/>
                <w:szCs w:val="18"/>
              </w:rPr>
              <w:fldChar w:fldCharType="separate"/>
            </w:r>
            <w:r w:rsidR="00C3381F" w:rsidRPr="00C3381F">
              <w:rPr>
                <w:noProof/>
                <w:sz w:val="18"/>
                <w:szCs w:val="18"/>
                <w:vertAlign w:val="superscript"/>
              </w:rPr>
              <w:t>51</w:t>
            </w:r>
            <w:r>
              <w:rPr>
                <w:sz w:val="18"/>
                <w:szCs w:val="18"/>
              </w:rPr>
              <w:fldChar w:fldCharType="end"/>
            </w:r>
          </w:p>
        </w:tc>
        <w:tc>
          <w:tcPr>
            <w:tcW w:w="1620" w:type="dxa"/>
            <w:gridSpan w:val="2"/>
            <w:shd w:val="clear" w:color="auto" w:fill="FFFFFF" w:themeFill="background1"/>
          </w:tcPr>
          <w:p w14:paraId="3EE900DD" w14:textId="77777777" w:rsidR="00CD0E8A" w:rsidRPr="00921944" w:rsidRDefault="00CD0E8A" w:rsidP="00CD0E8A">
            <w:pPr>
              <w:pStyle w:val="ListParagraph"/>
              <w:keepNext/>
              <w:widowControl w:val="0"/>
              <w:tabs>
                <w:tab w:val="clear" w:pos="357"/>
                <w:tab w:val="left" w:pos="0"/>
              </w:tabs>
              <w:ind w:left="0"/>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Bell Bay Precinct,</w:t>
            </w:r>
          </w:p>
          <w:p w14:paraId="665354AF" w14:textId="0BD2E52C" w:rsidR="00CD0E8A" w:rsidRPr="00921944" w:rsidRDefault="00CD0E8A" w:rsidP="00CD0E8A">
            <w:pPr>
              <w:pStyle w:val="ListParagraph"/>
              <w:tabs>
                <w:tab w:val="clear" w:pos="357"/>
                <w:tab w:val="left" w:pos="0"/>
              </w:tabs>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Tas.</w:t>
            </w:r>
          </w:p>
        </w:tc>
        <w:tc>
          <w:tcPr>
            <w:tcW w:w="2059" w:type="dxa"/>
            <w:gridSpan w:val="2"/>
            <w:shd w:val="clear" w:color="auto" w:fill="FFFFFF" w:themeFill="background1"/>
          </w:tcPr>
          <w:p w14:paraId="34AE7604"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bCs/>
                <w:sz w:val="18"/>
                <w:szCs w:val="18"/>
                <w:lang w:val="en-US"/>
              </w:rPr>
            </w:pPr>
            <w:r>
              <w:rPr>
                <w:bCs/>
                <w:sz w:val="18"/>
                <w:szCs w:val="18"/>
                <w:lang w:val="en-US"/>
              </w:rPr>
              <w:t xml:space="preserve">44 </w:t>
            </w:r>
            <w:proofErr w:type="spellStart"/>
            <w:r>
              <w:rPr>
                <w:bCs/>
                <w:sz w:val="18"/>
                <w:szCs w:val="18"/>
                <w:lang w:val="en-US"/>
              </w:rPr>
              <w:t>tpd</w:t>
            </w:r>
            <w:proofErr w:type="spellEnd"/>
            <w:r>
              <w:rPr>
                <w:bCs/>
                <w:sz w:val="18"/>
                <w:szCs w:val="18"/>
                <w:lang w:val="en-US"/>
              </w:rPr>
              <w:t xml:space="preserve"> (38 </w:t>
            </w:r>
            <w:proofErr w:type="spellStart"/>
            <w:r>
              <w:rPr>
                <w:bCs/>
                <w:sz w:val="18"/>
                <w:szCs w:val="18"/>
                <w:lang w:val="en-US"/>
              </w:rPr>
              <w:t>tpd</w:t>
            </w:r>
            <w:proofErr w:type="spellEnd"/>
            <w:r>
              <w:rPr>
                <w:bCs/>
                <w:sz w:val="18"/>
                <w:szCs w:val="18"/>
                <w:lang w:val="en-US"/>
              </w:rPr>
              <w:t xml:space="preserve"> for Methanol generation and 6 </w:t>
            </w:r>
            <w:proofErr w:type="spellStart"/>
            <w:r>
              <w:rPr>
                <w:bCs/>
                <w:sz w:val="18"/>
                <w:szCs w:val="18"/>
                <w:lang w:val="en-US"/>
              </w:rPr>
              <w:t>tpd</w:t>
            </w:r>
            <w:proofErr w:type="spellEnd"/>
            <w:r>
              <w:rPr>
                <w:bCs/>
                <w:sz w:val="18"/>
                <w:szCs w:val="18"/>
                <w:lang w:val="en-US"/>
              </w:rPr>
              <w:t xml:space="preserve"> for domestic use)</w:t>
            </w:r>
          </w:p>
          <w:p w14:paraId="23F257AA"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bCs/>
                <w:sz w:val="18"/>
                <w:szCs w:val="18"/>
                <w:lang w:val="en-US"/>
              </w:rPr>
            </w:pPr>
            <w:r>
              <w:rPr>
                <w:bCs/>
                <w:sz w:val="18"/>
                <w:szCs w:val="18"/>
                <w:lang w:val="en-US"/>
              </w:rPr>
              <w:t>(100 MW electrolyser)</w:t>
            </w:r>
          </w:p>
          <w:p w14:paraId="2319D0ED"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bCs/>
                <w:sz w:val="18"/>
                <w:szCs w:val="18"/>
                <w:lang w:val="en-US"/>
              </w:rPr>
            </w:pPr>
          </w:p>
          <w:p w14:paraId="3070E878"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60</w:t>
            </w:r>
            <w:r>
              <w:rPr>
                <w:sz w:val="18"/>
                <w:szCs w:val="18"/>
                <w:lang w:val="en-US"/>
              </w:rPr>
              <w:t xml:space="preserve"> </w:t>
            </w:r>
            <w:proofErr w:type="spellStart"/>
            <w:r w:rsidRPr="00921944">
              <w:rPr>
                <w:sz w:val="18"/>
                <w:szCs w:val="18"/>
                <w:lang w:val="en-US"/>
              </w:rPr>
              <w:t>ktpa</w:t>
            </w:r>
            <w:proofErr w:type="spellEnd"/>
            <w:r w:rsidRPr="00921944">
              <w:rPr>
                <w:sz w:val="18"/>
                <w:szCs w:val="18"/>
                <w:lang w:val="en-US"/>
              </w:rPr>
              <w:t xml:space="preserve"> of Methanol</w:t>
            </w:r>
          </w:p>
          <w:p w14:paraId="25E4AE0B" w14:textId="77777777" w:rsidR="00CD0E8A" w:rsidRPr="00921944" w:rsidRDefault="00CD0E8A" w:rsidP="00CD0E8A">
            <w:pPr>
              <w:cnfStyle w:val="000000010000" w:firstRow="0" w:lastRow="0" w:firstColumn="0" w:lastColumn="0" w:oddVBand="0" w:evenVBand="0" w:oddHBand="0" w:evenHBand="1" w:firstRowFirstColumn="0" w:firstRowLastColumn="0" w:lastRowFirstColumn="0" w:lastRowLastColumn="0"/>
              <w:rPr>
                <w:sz w:val="18"/>
                <w:szCs w:val="18"/>
                <w:lang w:val="en-US"/>
              </w:rPr>
            </w:pPr>
          </w:p>
        </w:tc>
        <w:tc>
          <w:tcPr>
            <w:tcW w:w="2064" w:type="dxa"/>
            <w:gridSpan w:val="2"/>
            <w:shd w:val="clear" w:color="auto" w:fill="FFFFFF" w:themeFill="background1"/>
          </w:tcPr>
          <w:p w14:paraId="50F5A81F" w14:textId="76930B4C" w:rsidR="00CD0E8A" w:rsidRPr="00921944" w:rsidRDefault="00CD0E8A" w:rsidP="00CD0E8A">
            <w:pPr>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Commercial Plant</w:t>
            </w:r>
          </w:p>
        </w:tc>
        <w:tc>
          <w:tcPr>
            <w:tcW w:w="1388" w:type="dxa"/>
            <w:shd w:val="clear" w:color="auto" w:fill="FFFFFF" w:themeFill="background1"/>
          </w:tcPr>
          <w:p w14:paraId="02255C4C" w14:textId="77777777" w:rsidR="00CD0E8A" w:rsidRPr="00921944" w:rsidRDefault="00CD0E8A" w:rsidP="00CD0E8A">
            <w:pPr>
              <w:pStyle w:val="ListParagraph"/>
              <w:keepNext/>
              <w:widowControl w:val="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r>
              <w:rPr>
                <w:noProof/>
              </w:rPr>
              <w:drawing>
                <wp:inline distT="0" distB="0" distL="0" distR="0" wp14:anchorId="289B7F1A" wp14:editId="7067D1A6">
                  <wp:extent cx="461882" cy="477078"/>
                  <wp:effectExtent l="0" t="0" r="0" b="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p w14:paraId="6E52827C" w14:textId="77777777" w:rsidR="00CD0E8A" w:rsidRPr="00921944" w:rsidRDefault="00CD0E8A" w:rsidP="00CD0E8A">
            <w:pPr>
              <w:pStyle w:val="ListParagraph"/>
              <w:keepNext/>
              <w:widowControl w:val="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p w14:paraId="6E64B5B3" w14:textId="77777777" w:rsidR="00CD0E8A" w:rsidRPr="00921944" w:rsidRDefault="00CD0E8A" w:rsidP="00CD0E8A">
            <w:pPr>
              <w:pStyle w:val="ListParagraph"/>
              <w:keepNext/>
              <w:widowControl w:val="0"/>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lang w:val="en-US"/>
              </w:rPr>
            </w:pPr>
          </w:p>
          <w:p w14:paraId="7B3F9C14" w14:textId="77777777" w:rsidR="00CD0E8A" w:rsidRDefault="00CD0E8A" w:rsidP="00CD0E8A">
            <w:pPr>
              <w:pStyle w:val="ListParagraph"/>
              <w:ind w:left="0"/>
              <w:jc w:val="center"/>
              <w:cnfStyle w:val="000000010000" w:firstRow="0" w:lastRow="0" w:firstColumn="0" w:lastColumn="0" w:oddVBand="0" w:evenVBand="0" w:oddHBand="0" w:evenHBand="1" w:firstRowFirstColumn="0" w:firstRowLastColumn="0" w:lastRowFirstColumn="0" w:lastRowLastColumn="0"/>
              <w:rPr>
                <w:noProof/>
              </w:rPr>
            </w:pPr>
          </w:p>
        </w:tc>
        <w:tc>
          <w:tcPr>
            <w:tcW w:w="1374" w:type="dxa"/>
            <w:gridSpan w:val="2"/>
            <w:shd w:val="clear" w:color="auto" w:fill="FFFFFF" w:themeFill="background1"/>
          </w:tcPr>
          <w:p w14:paraId="52539DE8" w14:textId="59E2B8E7" w:rsidR="00CD0E8A" w:rsidRDefault="00CD0E8A" w:rsidP="00CD0E8A">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9DC4976" wp14:editId="42FB2203">
                  <wp:extent cx="461882" cy="477078"/>
                  <wp:effectExtent l="0" t="0" r="0" b="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shd w:val="clear" w:color="auto" w:fill="FFFFFF" w:themeFill="background1"/>
          </w:tcPr>
          <w:p w14:paraId="3754A761"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Under development</w:t>
            </w:r>
          </w:p>
          <w:p w14:paraId="45A6095B" w14:textId="77777777" w:rsidR="00CD0E8A" w:rsidRDefault="00CD0E8A" w:rsidP="00CD0E8A">
            <w:pPr>
              <w:keepNext/>
              <w:widowControl w:val="0"/>
              <w:cnfStyle w:val="000000010000" w:firstRow="0" w:lastRow="0" w:firstColumn="0" w:lastColumn="0" w:oddVBand="0" w:evenVBand="0" w:oddHBand="0" w:evenHBand="1" w:firstRowFirstColumn="0" w:firstRowLastColumn="0" w:lastRowFirstColumn="0" w:lastRowLastColumn="0"/>
              <w:rPr>
                <w:noProof/>
                <w:sz w:val="18"/>
                <w:szCs w:val="18"/>
                <w:lang w:val="en-US"/>
              </w:rPr>
            </w:pPr>
          </w:p>
          <w:p w14:paraId="6CDDA3D2" w14:textId="0DC1CF17" w:rsidR="00CD0E8A" w:rsidRPr="00921944" w:rsidRDefault="00CD0E8A" w:rsidP="00CD0E8A">
            <w:pPr>
              <w:cnfStyle w:val="000000010000" w:firstRow="0" w:lastRow="0" w:firstColumn="0" w:lastColumn="0" w:oddVBand="0" w:evenVBand="0" w:oddHBand="0" w:evenHBand="1" w:firstRowFirstColumn="0" w:firstRowLastColumn="0" w:lastRowFirstColumn="0" w:lastRowLastColumn="0"/>
              <w:rPr>
                <w:sz w:val="18"/>
                <w:szCs w:val="18"/>
                <w:lang w:val="en-US"/>
              </w:rPr>
            </w:pPr>
            <w:r>
              <w:rPr>
                <w:noProof/>
                <w:sz w:val="18"/>
                <w:szCs w:val="18"/>
                <w:lang w:val="en-US"/>
              </w:rPr>
              <w:t>Operation expected by 2024</w:t>
            </w:r>
          </w:p>
        </w:tc>
      </w:tr>
      <w:tr w:rsidR="00CD0E8A" w:rsidRPr="00921944" w14:paraId="349B835E"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2A98E47C" w14:textId="287FF5CC" w:rsidR="00CD0E8A" w:rsidRPr="00921944" w:rsidRDefault="00CD0E8A" w:rsidP="00CD0E8A">
            <w:pPr>
              <w:rPr>
                <w:bCs/>
                <w:sz w:val="18"/>
                <w:szCs w:val="18"/>
                <w:lang w:val="en-US"/>
              </w:rPr>
            </w:pPr>
            <w:r w:rsidRPr="00921944">
              <w:rPr>
                <w:bCs/>
                <w:sz w:val="18"/>
                <w:szCs w:val="18"/>
                <w:lang w:val="en-US"/>
              </w:rPr>
              <w:lastRenderedPageBreak/>
              <w:t>2</w:t>
            </w:r>
            <w:r w:rsidR="007A1DBD">
              <w:rPr>
                <w:bCs/>
                <w:sz w:val="18"/>
                <w:szCs w:val="18"/>
                <w:lang w:val="en-US"/>
              </w:rPr>
              <w:t>2</w:t>
            </w:r>
            <w:r w:rsidRPr="00921944">
              <w:rPr>
                <w:bCs/>
                <w:sz w:val="18"/>
                <w:szCs w:val="18"/>
                <w:lang w:val="en-US"/>
              </w:rPr>
              <w:t>.</w:t>
            </w:r>
          </w:p>
        </w:tc>
        <w:tc>
          <w:tcPr>
            <w:tcW w:w="3153" w:type="dxa"/>
            <w:gridSpan w:val="2"/>
          </w:tcPr>
          <w:p w14:paraId="281F6538" w14:textId="77777777" w:rsidR="00CD0E8A" w:rsidRPr="00921944" w:rsidRDefault="00CD0E8A" w:rsidP="00CD0E8A">
            <w:pPr>
              <w:pStyle w:val="ListParagraph"/>
              <w:ind w:left="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Origin Energy Green Ammonia Project</w:t>
            </w:r>
          </w:p>
          <w:p w14:paraId="577AD8C7" w14:textId="4479C8EB" w:rsidR="00CD0E8A" w:rsidRDefault="00CD0E8A" w:rsidP="00CD0E8A">
            <w:pPr>
              <w:pStyle w:val="ListParagraph"/>
              <w:spacing w:before="240" w:after="120"/>
              <w:ind w:left="0" w:right="153"/>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Origin Energy is conducting a feasibility study into &gt;500 MW plant capable of producing 420,000 tonnes of ammonia per annum.</w:t>
            </w:r>
            <w:r w:rsidRPr="00921944">
              <w:rPr>
                <w:sz w:val="18"/>
                <w:szCs w:val="18"/>
                <w:lang w:val="en-US"/>
              </w:rPr>
              <w:fldChar w:fldCharType="begin" w:fldLock="1"/>
            </w:r>
            <w:r w:rsidR="00D21B34">
              <w:rPr>
                <w:sz w:val="18"/>
                <w:szCs w:val="18"/>
                <w:lang w:val="en-US"/>
              </w:rPr>
              <w:instrText>ADDIN CSL_CITATION {"citationItems":[{"id":"ITEM-1","itemData":{"URL":"https://www.originenergy.com.au/about/investors-media/media-centre/origin_to_investigate_export_scale_green_hydrogen_project_in_tasmania.html#:~:text=17 November 2020-,Origin to investigate export scale green hydrogen project in Tasmania,sustainable water","abstract":"Origin Energy will conduct a $3.2 million feasibility study into building an export scale green hydrogen and ammonia plant in Tasmania’s Bell Bay.","author":[{"dropping-particle":"","family":"Origin Energy","given":"","non-dropping-particle":"","parse-names":false,"suffix":""}],"id":"ITEM-1","issued":{"date-parts":[["2020"]]},"title":"Origin to investigate export scale green hydrogen project in Tasmania","type":"webpage"},"uris":["http://www.mendeley.com/documents/?uuid=bff7b7e0-6022-3b82-898b-309b7373852e","http://www.mendeley.com/documents/?uuid=dc7744dc-4dc7-488f-acf5-820ab7f5c4f9","http://www.mendeley.com/documents/?uuid=90ce924a-6de9-4dfa-b11a-96f9685223d9"]}],"mendeley":{"formattedCitation":"&lt;sup&gt;52&lt;/sup&gt;","plainTextFormattedCitation":"52","previouslyFormattedCitation":"&lt;sup&gt;52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52</w:t>
            </w:r>
            <w:r w:rsidRPr="00921944">
              <w:rPr>
                <w:sz w:val="18"/>
                <w:szCs w:val="18"/>
                <w:lang w:val="en-US"/>
              </w:rPr>
              <w:fldChar w:fldCharType="end"/>
            </w:r>
            <w:r w:rsidRPr="00921944">
              <w:rPr>
                <w:sz w:val="18"/>
                <w:szCs w:val="18"/>
                <w:lang w:val="en-US"/>
              </w:rPr>
              <w:t xml:space="preserve"> </w:t>
            </w:r>
            <w:r>
              <w:rPr>
                <w:sz w:val="18"/>
                <w:szCs w:val="18"/>
                <w:lang w:val="en-US"/>
              </w:rPr>
              <w:t>The study was also funded (A$1.6 million) by the Tasmanian Government.</w:t>
            </w:r>
            <w:r>
              <w:rPr>
                <w:sz w:val="18"/>
                <w:szCs w:val="18"/>
              </w:rPr>
              <w:fldChar w:fldCharType="begin" w:fldLock="1"/>
            </w:r>
            <w:r w:rsidR="00D21B34">
              <w:rPr>
                <w:sz w:val="18"/>
                <w:szCs w:val="18"/>
              </w:rPr>
              <w:instrText>ADDIN CSL_CITATION {"citationItems":[{"id":"ITEM-1","itemData":{"URL":"https://www.spglobal.com/platts/en/market-insights/latest-news/metals/111720-tasmania-chooses-four-companies-for-new-green-hydrogen-studies","accessed":{"date-parts":[["2021","7","23"]]},"author":[{"dropping-particle":"","family":"S&amp;P Global Platts","given":"","non-dropping-particle":"","parse-names":false,"suffix":""}],"container-title":"Market Insights","id":"ITEM-1","issued":{"date-parts":[["2020"]]},"title":"Tasmania chooses four companies for new green hydrogen studies","type":"webpage"},"uris":["http://www.mendeley.com/documents/?uuid=ab6edec5-c50a-3c44-8d1f-de35132ffb03"]}],"mendeley":{"formattedCitation":"&lt;sup&gt;50&lt;/sup&gt;","plainTextFormattedCitation":"50","previouslyFormattedCitation":"&lt;sup&gt;50&lt;/sup&gt;"},"properties":{"noteIndex":0},"schema":"https://github.com/citation-style-language/schema/raw/master/csl-citation.json"}</w:instrText>
            </w:r>
            <w:r>
              <w:rPr>
                <w:sz w:val="18"/>
                <w:szCs w:val="18"/>
              </w:rPr>
              <w:fldChar w:fldCharType="separate"/>
            </w:r>
            <w:r w:rsidR="00C3381F" w:rsidRPr="00C3381F">
              <w:rPr>
                <w:noProof/>
                <w:sz w:val="18"/>
                <w:szCs w:val="18"/>
                <w:vertAlign w:val="superscript"/>
              </w:rPr>
              <w:t>50</w:t>
            </w:r>
            <w:r>
              <w:rPr>
                <w:sz w:val="18"/>
                <w:szCs w:val="18"/>
              </w:rPr>
              <w:fldChar w:fldCharType="end"/>
            </w:r>
          </w:p>
          <w:p w14:paraId="46822151" w14:textId="5D9EA599" w:rsidR="00CD0E8A" w:rsidRPr="00921944" w:rsidRDefault="00CD0E8A" w:rsidP="0082149E">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rPr>
            </w:pPr>
            <w:r w:rsidRPr="00921944">
              <w:rPr>
                <w:sz w:val="18"/>
                <w:szCs w:val="18"/>
                <w:lang w:val="en-US"/>
              </w:rPr>
              <w:t>The study is expected to be completed December 2021 with the first production targeted for mid-2020s.</w:t>
            </w:r>
            <w:r w:rsidRPr="00921944">
              <w:rPr>
                <w:sz w:val="18"/>
                <w:szCs w:val="18"/>
                <w:lang w:val="en-US"/>
              </w:rPr>
              <w:fldChar w:fldCharType="begin" w:fldLock="1"/>
            </w:r>
            <w:r w:rsidR="00D21B34">
              <w:rPr>
                <w:sz w:val="18"/>
                <w:szCs w:val="18"/>
                <w:lang w:val="en-US"/>
              </w:rPr>
              <w:instrText>ADDIN CSL_CITATION {"citationItems":[{"id":"ITEM-1","itemData":{"URL":"https://www.originenergy.com.au/about/investors-media/media-centre/origin_to_investigate_export_scale_green_hydrogen_project_in_tasmania.html#:~:text=17 November 2020-,Origin to investigate export scale green hydrogen project in Tasmania,sustainable water","abstract":"Origin Energy will conduct a $3.2 million feasibility study into building an export scale green hydrogen and ammonia plant in Tasmania’s Bell Bay.","author":[{"dropping-particle":"","family":"Origin Energy","given":"","non-dropping-particle":"","parse-names":false,"suffix":""}],"id":"ITEM-1","issued":{"date-parts":[["2020"]]},"title":"Origin to investigate export scale green hydrogen project in Tasmania","type":"webpage"},"uris":["http://www.mendeley.com/documents/?uuid=90ce924a-6de9-4dfa-b11a-96f9685223d9","http://www.mendeley.com/documents/?uuid=dc7744dc-4dc7-488f-acf5-820ab7f5c4f9","http://www.mendeley.com/documents/?uuid=bff7b7e0-6022-3b82-898b-309b7373852e"]}],"mendeley":{"formattedCitation":"&lt;sup&gt;52&lt;/sup&gt;","plainTextFormattedCitation":"52","previouslyFormattedCitation":"&lt;sup&gt;52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52</w:t>
            </w:r>
            <w:r w:rsidRPr="00921944">
              <w:rPr>
                <w:sz w:val="18"/>
                <w:szCs w:val="18"/>
                <w:lang w:val="en-US"/>
              </w:rPr>
              <w:fldChar w:fldCharType="end"/>
            </w:r>
            <w:r>
              <w:rPr>
                <w:sz w:val="18"/>
                <w:szCs w:val="18"/>
                <w:lang w:val="en-US"/>
              </w:rPr>
              <w:t xml:space="preserve"> </w:t>
            </w:r>
            <w:r w:rsidRPr="00921944">
              <w:rPr>
                <w:sz w:val="18"/>
                <w:szCs w:val="18"/>
                <w:lang w:val="en-US"/>
              </w:rPr>
              <w:t>Current projections would see such a plant costing up to $1 billion.</w:t>
            </w:r>
            <w:r>
              <w:rPr>
                <w:sz w:val="18"/>
                <w:szCs w:val="18"/>
                <w:lang w:val="en-US"/>
              </w:rPr>
              <w:fldChar w:fldCharType="begin" w:fldLock="1"/>
            </w:r>
            <w:r w:rsidR="00D21B34">
              <w:rPr>
                <w:sz w:val="18"/>
                <w:szCs w:val="18"/>
                <w:lang w:val="en-US"/>
              </w:rPr>
              <w:instrText>ADDIN CSL_CITATION {"citationItems":[{"id":"ITEM-1","itemData":{"URL":"https://www.afr.com/companies/energy/origin-fortescue-in-rival-hydrogen-projects-in-tasmania-20201117-p56f76","accessed":{"date-parts":[["2021","3","23"]]},"author":[{"dropping-particle":"","family":"Macdonald-smith","given":"Angela","non-dropping-particle":"","parse-names":false,"suffix":""},{"dropping-particle":"","family":"Thompson","given":"Brad","non-dropping-particle":"","parse-names":false,"suffix":""}],"container-title":"Australian Financial Review","id":"ITEM-1","issued":{"date-parts":[["2020"]]},"title":"Origin, Fortescue in rival hydrogen projects in Tasmania","type":"webpage"},"uris":["http://www.mendeley.com/documents/?uuid=9a64e8f1-ad89-425e-8aa5-7eff9d10adc7"]}],"mendeley":{"formattedCitation":"&lt;sup&gt;48&lt;/sup&gt;","plainTextFormattedCitation":"48","previouslyFormattedCitation":"&lt;sup&gt;48&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48</w:t>
            </w:r>
            <w:r>
              <w:rPr>
                <w:sz w:val="18"/>
                <w:szCs w:val="18"/>
                <w:lang w:val="en-US"/>
              </w:rPr>
              <w:fldChar w:fldCharType="end"/>
            </w:r>
            <w:r w:rsidRPr="00921944">
              <w:rPr>
                <w:sz w:val="18"/>
                <w:szCs w:val="18"/>
                <w:lang w:val="en-US"/>
              </w:rPr>
              <w:t xml:space="preserve"> </w:t>
            </w:r>
          </w:p>
        </w:tc>
        <w:tc>
          <w:tcPr>
            <w:tcW w:w="1620" w:type="dxa"/>
            <w:gridSpan w:val="2"/>
          </w:tcPr>
          <w:p w14:paraId="5AC35E77" w14:textId="77777777" w:rsidR="00CD0E8A" w:rsidRPr="00921944" w:rsidRDefault="00CD0E8A" w:rsidP="00CD0E8A">
            <w:pPr>
              <w:pStyle w:val="ListParagraph"/>
              <w:tabs>
                <w:tab w:val="clear" w:pos="357"/>
                <w:tab w:val="left" w:pos="0"/>
              </w:tabs>
              <w:ind w:left="0"/>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Bell Bay Precinct,</w:t>
            </w:r>
          </w:p>
          <w:p w14:paraId="140BF2E5" w14:textId="77777777" w:rsidR="00CD0E8A" w:rsidRPr="00921944" w:rsidRDefault="00CD0E8A" w:rsidP="00CD0E8A">
            <w:pPr>
              <w:pStyle w:val="ListParagraph"/>
              <w:tabs>
                <w:tab w:val="clear" w:pos="357"/>
                <w:tab w:val="left" w:pos="0"/>
              </w:tabs>
              <w:ind w:left="0"/>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Tas.</w:t>
            </w:r>
          </w:p>
          <w:p w14:paraId="09450A14" w14:textId="77777777" w:rsidR="00CD0E8A" w:rsidRPr="00921944" w:rsidRDefault="00CD0E8A" w:rsidP="00CD0E8A">
            <w:pPr>
              <w:pStyle w:val="ListParagraph"/>
              <w:tabs>
                <w:tab w:val="clear" w:pos="357"/>
                <w:tab w:val="left" w:pos="0"/>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59" w:type="dxa"/>
            <w:gridSpan w:val="2"/>
          </w:tcPr>
          <w:p w14:paraId="2971F1BE" w14:textId="77777777" w:rsidR="00CD0E8A" w:rsidRPr="00AC015D"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500 MW electrolyser for H</w:t>
            </w:r>
            <w:r w:rsidRPr="00AC015D">
              <w:rPr>
                <w:sz w:val="18"/>
                <w:szCs w:val="18"/>
                <w:vertAlign w:val="subscript"/>
                <w:lang w:val="en-US"/>
              </w:rPr>
              <w:t>2</w:t>
            </w:r>
            <w:r>
              <w:rPr>
                <w:sz w:val="18"/>
                <w:szCs w:val="18"/>
                <w:vertAlign w:val="subscript"/>
                <w:lang w:val="en-US"/>
              </w:rPr>
              <w:t xml:space="preserve"> </w:t>
            </w:r>
            <w:r>
              <w:rPr>
                <w:sz w:val="18"/>
                <w:szCs w:val="18"/>
                <w:lang w:val="en-US"/>
              </w:rPr>
              <w:t>generation</w:t>
            </w:r>
          </w:p>
          <w:p w14:paraId="1353C27E" w14:textId="77777777" w:rsidR="00CD0E8A"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p>
          <w:p w14:paraId="0F5925A8" w14:textId="77777777" w:rsidR="00CD0E8A"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420</w:t>
            </w:r>
            <w:r>
              <w:rPr>
                <w:sz w:val="18"/>
                <w:szCs w:val="18"/>
                <w:lang w:val="en-US"/>
              </w:rPr>
              <w:t xml:space="preserve"> </w:t>
            </w:r>
            <w:proofErr w:type="spellStart"/>
            <w:r w:rsidRPr="00921944">
              <w:rPr>
                <w:sz w:val="18"/>
                <w:szCs w:val="18"/>
                <w:lang w:val="en-US"/>
              </w:rPr>
              <w:t>ktpa</w:t>
            </w:r>
            <w:proofErr w:type="spellEnd"/>
            <w:r w:rsidRPr="00921944">
              <w:rPr>
                <w:sz w:val="18"/>
                <w:szCs w:val="18"/>
                <w:lang w:val="en-US"/>
              </w:rPr>
              <w:t xml:space="preserve"> of Ammonia</w:t>
            </w:r>
          </w:p>
          <w:p w14:paraId="38A05917" w14:textId="77777777" w:rsidR="00CD0E8A" w:rsidRPr="00921944"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gridSpan w:val="2"/>
          </w:tcPr>
          <w:p w14:paraId="7A868731" w14:textId="6A065540" w:rsidR="00CD0E8A" w:rsidRPr="00921944"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Feasibility Study (Commercial Plant) </w:t>
            </w:r>
          </w:p>
        </w:tc>
        <w:tc>
          <w:tcPr>
            <w:tcW w:w="1388" w:type="dxa"/>
          </w:tcPr>
          <w:p w14:paraId="15FD59B7" w14:textId="77777777" w:rsidR="00CD0E8A" w:rsidRDefault="00CD0E8A" w:rsidP="00CD0E8A">
            <w:pPr>
              <w:pStyle w:val="ListParagraph"/>
              <w:ind w:left="0"/>
              <w:jc w:val="center"/>
              <w:cnfStyle w:val="000000000000" w:firstRow="0" w:lastRow="0" w:firstColumn="0" w:lastColumn="0" w:oddVBand="0" w:evenVBand="0" w:oddHBand="0" w:evenHBand="0" w:firstRowFirstColumn="0" w:firstRowLastColumn="0" w:lastRowFirstColumn="0" w:lastRowLastColumn="0"/>
              <w:rPr>
                <w:noProof/>
              </w:rPr>
            </w:pPr>
          </w:p>
        </w:tc>
        <w:tc>
          <w:tcPr>
            <w:tcW w:w="1374" w:type="dxa"/>
            <w:gridSpan w:val="2"/>
          </w:tcPr>
          <w:p w14:paraId="33677F26" w14:textId="1001736F" w:rsidR="00CD0E8A" w:rsidRDefault="00CD0E8A" w:rsidP="00CD0E8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B6347B" wp14:editId="43080D47">
                  <wp:extent cx="461882" cy="477078"/>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24859B17" w14:textId="26F23848" w:rsidR="00CD0E8A" w:rsidRPr="00921944" w:rsidRDefault="00CD0E8A" w:rsidP="00CD0E8A">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Under development</w:t>
            </w:r>
          </w:p>
        </w:tc>
      </w:tr>
      <w:tr w:rsidR="00C039E1" w:rsidRPr="00921944" w14:paraId="5565C652" w14:textId="77777777" w:rsidTr="00F86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13"/>
            <w:shd w:val="clear" w:color="auto" w:fill="737373" w:themeFill="text2"/>
          </w:tcPr>
          <w:p w14:paraId="40A6ADC9" w14:textId="555F0349" w:rsidR="00C039E1" w:rsidRPr="00921944" w:rsidRDefault="00921944" w:rsidP="00BA2C8B">
            <w:pPr>
              <w:spacing w:before="120" w:after="120"/>
              <w:rPr>
                <w:sz w:val="18"/>
                <w:szCs w:val="18"/>
                <w:lang w:val="en-US"/>
              </w:rPr>
            </w:pPr>
            <w:r>
              <w:rPr>
                <w:color w:val="FFFFFF" w:themeColor="background1"/>
                <w:sz w:val="18"/>
                <w:szCs w:val="18"/>
                <w:lang w:val="en-US"/>
              </w:rPr>
              <w:t>S</w:t>
            </w:r>
            <w:r w:rsidR="00C039E1" w:rsidRPr="00921944">
              <w:rPr>
                <w:color w:val="FFFFFF" w:themeColor="background1"/>
                <w:sz w:val="18"/>
                <w:szCs w:val="18"/>
                <w:lang w:val="en-US"/>
              </w:rPr>
              <w:t>outh Australia</w:t>
            </w:r>
          </w:p>
        </w:tc>
      </w:tr>
      <w:tr w:rsidR="002800B9" w:rsidRPr="00921944" w14:paraId="5356A720"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3C760A83" w14:textId="7A03A586" w:rsidR="00C039E1" w:rsidRPr="00921944" w:rsidRDefault="00C039E1" w:rsidP="00BA2C8B">
            <w:pPr>
              <w:rPr>
                <w:sz w:val="18"/>
                <w:szCs w:val="18"/>
                <w:lang w:val="en-US"/>
              </w:rPr>
            </w:pPr>
            <w:r w:rsidRPr="00921944">
              <w:rPr>
                <w:sz w:val="18"/>
                <w:szCs w:val="18"/>
                <w:lang w:val="en-US"/>
              </w:rPr>
              <w:t>2</w:t>
            </w:r>
            <w:r w:rsidR="007A1DBD">
              <w:rPr>
                <w:sz w:val="18"/>
                <w:szCs w:val="18"/>
                <w:lang w:val="en-US"/>
              </w:rPr>
              <w:t>3</w:t>
            </w:r>
            <w:r w:rsidRPr="00921944">
              <w:rPr>
                <w:sz w:val="18"/>
                <w:szCs w:val="18"/>
                <w:lang w:val="en-US"/>
              </w:rPr>
              <w:t>.</w:t>
            </w:r>
          </w:p>
        </w:tc>
        <w:tc>
          <w:tcPr>
            <w:tcW w:w="3153" w:type="dxa"/>
            <w:gridSpan w:val="2"/>
          </w:tcPr>
          <w:p w14:paraId="177E0B73" w14:textId="77777777" w:rsidR="00C039E1" w:rsidRPr="00921944" w:rsidRDefault="00C039E1" w:rsidP="00BA2C8B">
            <w:pPr>
              <w:ind w:right="153"/>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Hydrogen Park South Australia (</w:t>
            </w:r>
            <w:proofErr w:type="spellStart"/>
            <w:r w:rsidRPr="00921944">
              <w:rPr>
                <w:b/>
                <w:bCs/>
                <w:sz w:val="18"/>
                <w:szCs w:val="18"/>
                <w:lang w:val="en-US"/>
              </w:rPr>
              <w:t>HyP</w:t>
            </w:r>
            <w:proofErr w:type="spellEnd"/>
            <w:r w:rsidRPr="00921944">
              <w:rPr>
                <w:b/>
                <w:bCs/>
                <w:sz w:val="18"/>
                <w:szCs w:val="18"/>
                <w:lang w:val="en-US"/>
              </w:rPr>
              <w:t xml:space="preserve"> SA) </w:t>
            </w:r>
          </w:p>
          <w:p w14:paraId="0AC56317" w14:textId="4FF3C905" w:rsidR="00740A40" w:rsidRDefault="00C039E1" w:rsidP="00925E3B">
            <w:pPr>
              <w:spacing w:before="240" w:after="120"/>
              <w:ind w:right="153"/>
              <w:cnfStyle w:val="000000000000" w:firstRow="0" w:lastRow="0" w:firstColumn="0" w:lastColumn="0" w:oddVBand="0" w:evenVBand="0" w:oddHBand="0" w:evenHBand="0" w:firstRowFirstColumn="0" w:firstRowLastColumn="0" w:lastRowFirstColumn="0" w:lastRowLastColumn="0"/>
              <w:rPr>
                <w:sz w:val="18"/>
                <w:szCs w:val="18"/>
                <w:lang w:val="en-GB"/>
              </w:rPr>
            </w:pPr>
            <w:r w:rsidRPr="00921944">
              <w:rPr>
                <w:sz w:val="18"/>
                <w:szCs w:val="18"/>
                <w:lang w:val="en-GB"/>
              </w:rPr>
              <w:t xml:space="preserve">Australian Gas Infrastructure Group (AGIG) in 2018 announced </w:t>
            </w:r>
            <w:r w:rsidR="00287E21">
              <w:rPr>
                <w:sz w:val="18"/>
                <w:szCs w:val="18"/>
                <w:lang w:val="en-GB"/>
              </w:rPr>
              <w:t>plans for</w:t>
            </w:r>
            <w:r w:rsidRPr="00921944">
              <w:rPr>
                <w:sz w:val="18"/>
                <w:szCs w:val="18"/>
                <w:lang w:val="en-GB"/>
              </w:rPr>
              <w:t xml:space="preserve"> a hydrogen production and distribution facility using a 1.25 MW Siemens (</w:t>
            </w:r>
            <w:proofErr w:type="spellStart"/>
            <w:r w:rsidRPr="00921944">
              <w:rPr>
                <w:sz w:val="18"/>
                <w:szCs w:val="18"/>
                <w:lang w:val="en-GB"/>
              </w:rPr>
              <w:t>Silyzer</w:t>
            </w:r>
            <w:proofErr w:type="spellEnd"/>
            <w:r w:rsidRPr="00921944">
              <w:rPr>
                <w:sz w:val="18"/>
                <w:szCs w:val="18"/>
                <w:lang w:val="en-GB"/>
              </w:rPr>
              <w:t xml:space="preserve"> technology) PEM electrolyser in the Tonsley Innovation District, South Australia.</w:t>
            </w:r>
            <w:r w:rsidRPr="00921944">
              <w:rPr>
                <w:sz w:val="18"/>
                <w:szCs w:val="18"/>
                <w:lang w:val="en-GB"/>
              </w:rPr>
              <w:fldChar w:fldCharType="begin" w:fldLock="1"/>
            </w:r>
            <w:r w:rsidR="00D21B34">
              <w:rPr>
                <w:sz w:val="18"/>
                <w:szCs w:val="18"/>
                <w:lang w:val="en-GB"/>
              </w:rPr>
              <w:instrText>ADDIN CSL_CITATION {"citationItems":[{"id":"ITEM-1","itemData":{"URL":"https://new.siemens.com/au/en/company/press-centre/hydrogen-demonstration-park.html","author":[{"dropping-particle":"","family":"Siemens Australia","given":"","non-dropping-particle":"","parse-names":false,"suffix":""}],"container-title":"Press Release","id":"ITEM-1","issued":{"date-parts":[["2018"]]},"title":"Hydrogen Demonstration Park","type":"webpage"},"uris":["http://www.mendeley.com/documents/?uuid=1c789730-0ceb-32b4-a487-2142bd2f0811","http://www.mendeley.com/documents/?uuid=57e30312-a3a2-4a6c-bb44-b485b9599f1a","http://www.mendeley.com/documents/?uuid=8bf9e241-dc14-4434-850c-ae44af6ab486"]}],"mendeley":{"formattedCitation":"&lt;sup&gt;53&lt;/sup&gt;","plainTextFormattedCitation":"53","previouslyFormattedCitation":"&lt;sup&gt;53&lt;/sup&gt;"},"properties":{"noteIndex":0},"schema":"https://github.com/citation-style-language/schema/raw/master/csl-citation.json"}</w:instrText>
            </w:r>
            <w:r w:rsidRPr="00921944">
              <w:rPr>
                <w:sz w:val="18"/>
                <w:szCs w:val="18"/>
                <w:lang w:val="en-GB"/>
              </w:rPr>
              <w:fldChar w:fldCharType="separate"/>
            </w:r>
            <w:r w:rsidR="00C3381F" w:rsidRPr="00C3381F">
              <w:rPr>
                <w:noProof/>
                <w:sz w:val="18"/>
                <w:szCs w:val="18"/>
                <w:vertAlign w:val="superscript"/>
                <w:lang w:val="en-GB"/>
              </w:rPr>
              <w:t>53</w:t>
            </w:r>
            <w:r w:rsidRPr="00921944">
              <w:rPr>
                <w:sz w:val="18"/>
                <w:szCs w:val="18"/>
                <w:lang w:val="en-US"/>
              </w:rPr>
              <w:fldChar w:fldCharType="end"/>
            </w:r>
            <w:r w:rsidRPr="00921944">
              <w:rPr>
                <w:sz w:val="18"/>
                <w:szCs w:val="18"/>
                <w:lang w:val="en-GB"/>
              </w:rPr>
              <w:t xml:space="preserve"> </w:t>
            </w:r>
          </w:p>
          <w:p w14:paraId="44488448" w14:textId="61279AF7" w:rsidR="00C039E1" w:rsidRDefault="00C039E1" w:rsidP="00932958">
            <w:pPr>
              <w:spacing w:before="240" w:after="120"/>
              <w:ind w:right="153"/>
              <w:cnfStyle w:val="000000000000" w:firstRow="0" w:lastRow="0" w:firstColumn="0" w:lastColumn="0" w:oddVBand="0" w:evenVBand="0" w:oddHBand="0" w:evenHBand="0" w:firstRowFirstColumn="0" w:firstRowLastColumn="0" w:lastRowFirstColumn="0" w:lastRowLastColumn="0"/>
              <w:rPr>
                <w:sz w:val="18"/>
                <w:szCs w:val="18"/>
                <w:lang w:val="en-GB"/>
              </w:rPr>
            </w:pPr>
            <w:r w:rsidRPr="00921944">
              <w:rPr>
                <w:sz w:val="18"/>
                <w:szCs w:val="18"/>
                <w:lang w:val="en-GB"/>
              </w:rPr>
              <w:t>Hydrogen distribution began in Q1 2021 to industry via tube-trailer and homes by hydrogen-blended gas using existing networks.</w:t>
            </w:r>
            <w:r w:rsidRPr="00921944">
              <w:rPr>
                <w:sz w:val="18"/>
                <w:szCs w:val="18"/>
                <w:lang w:val="en-GB"/>
              </w:rPr>
              <w:fldChar w:fldCharType="begin" w:fldLock="1"/>
            </w:r>
            <w:r w:rsidR="00D21B34">
              <w:rPr>
                <w:sz w:val="18"/>
                <w:szCs w:val="18"/>
                <w:lang w:val="en-GB"/>
              </w:rPr>
              <w:instrText>ADDIN CSL_CITATION {"citationItems":[{"id":"ITEM-1","itemData":{"URL":"https://www.agig.com.au/hydrogen-park-south-australia","author":[{"dropping-particle":"","family":"AGIG","given":"","non-dropping-particle":"","parse-names":false,"suffix":""}],"id":"ITEM-1","issued":{"date-parts":[["2018"]]},"title":"Hydrogen Park South Australia - HyP SA","type":"webpage"},"uris":["http://www.mendeley.com/documents/?uuid=de4475da-f2d8-3ae1-b1bd-585b995d8094","http://www.mendeley.com/documents/?uuid=7f199f08-ca35-4924-9773-4cbe476c824c","http://www.mendeley.com/documents/?uuid=bd9f1210-d724-4fed-847b-44e84b6867d2"]}],"mendeley":{"formattedCitation":"&lt;sup&gt;54&lt;/sup&gt;","plainTextFormattedCitation":"54","previouslyFormattedCitation":"&lt;sup&gt;54&lt;/sup&gt;"},"properties":{"noteIndex":0},"schema":"https://github.com/citation-style-language/schema/raw/master/csl-citation.json"}</w:instrText>
            </w:r>
            <w:r w:rsidRPr="00921944">
              <w:rPr>
                <w:sz w:val="18"/>
                <w:szCs w:val="18"/>
                <w:lang w:val="en-GB"/>
              </w:rPr>
              <w:fldChar w:fldCharType="separate"/>
            </w:r>
            <w:r w:rsidR="00C3381F" w:rsidRPr="00C3381F">
              <w:rPr>
                <w:noProof/>
                <w:sz w:val="18"/>
                <w:szCs w:val="18"/>
                <w:vertAlign w:val="superscript"/>
                <w:lang w:val="en-GB"/>
              </w:rPr>
              <w:t>54</w:t>
            </w:r>
            <w:r w:rsidRPr="00921944">
              <w:rPr>
                <w:sz w:val="18"/>
                <w:szCs w:val="18"/>
                <w:lang w:val="en-US"/>
              </w:rPr>
              <w:fldChar w:fldCharType="end"/>
            </w:r>
            <w:r w:rsidRPr="00921944">
              <w:rPr>
                <w:sz w:val="18"/>
                <w:szCs w:val="18"/>
                <w:lang w:val="en-GB"/>
              </w:rPr>
              <w:t xml:space="preserve"> The facility is currently the largest operational </w:t>
            </w:r>
            <w:r w:rsidR="0053565C">
              <w:rPr>
                <w:sz w:val="18"/>
                <w:szCs w:val="18"/>
                <w:lang w:val="en-GB"/>
              </w:rPr>
              <w:t>electrolyser</w:t>
            </w:r>
            <w:r w:rsidRPr="00921944">
              <w:rPr>
                <w:sz w:val="18"/>
                <w:szCs w:val="18"/>
                <w:lang w:val="en-GB"/>
              </w:rPr>
              <w:t xml:space="preserve"> in Australia</w:t>
            </w:r>
            <w:r w:rsidR="00E6373A">
              <w:rPr>
                <w:sz w:val="18"/>
                <w:szCs w:val="18"/>
                <w:lang w:val="en-GB"/>
              </w:rPr>
              <w:t>.</w:t>
            </w:r>
          </w:p>
          <w:p w14:paraId="5989F5AB" w14:textId="1B01372E" w:rsidR="00C039E1" w:rsidRPr="00921944" w:rsidRDefault="00E6373A" w:rsidP="00932958">
            <w:pPr>
              <w:spacing w:before="240" w:after="120"/>
              <w:ind w:right="153"/>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The total project has been estimated to cost A$14.5 million, which was financed by </w:t>
            </w:r>
            <w:r w:rsidR="007D3428">
              <w:rPr>
                <w:sz w:val="18"/>
                <w:szCs w:val="18"/>
                <w:lang w:val="en-GB"/>
              </w:rPr>
              <w:t xml:space="preserve">an equity investment of A$9.6 million by AGIG and A$4.9 million in grant funding by South Australia (SA </w:t>
            </w:r>
            <w:r w:rsidR="007D3428">
              <w:rPr>
                <w:sz w:val="18"/>
                <w:szCs w:val="18"/>
                <w:lang w:val="en-GB"/>
              </w:rPr>
              <w:lastRenderedPageBreak/>
              <w:t>Government Renewable Technology Fund)</w:t>
            </w:r>
            <w:r w:rsidR="00FF4E1A">
              <w:rPr>
                <w:sz w:val="18"/>
                <w:szCs w:val="18"/>
                <w:lang w:val="en-GB"/>
              </w:rPr>
              <w:t>.</w:t>
            </w:r>
            <w:r w:rsidR="00FF4E1A">
              <w:rPr>
                <w:sz w:val="18"/>
                <w:szCs w:val="18"/>
                <w:lang w:val="en-GB"/>
              </w:rPr>
              <w:fldChar w:fldCharType="begin" w:fldLock="1"/>
            </w:r>
            <w:r w:rsidR="00D21B34">
              <w:rPr>
                <w:sz w:val="18"/>
                <w:szCs w:val="18"/>
                <w:lang w:val="en-GB"/>
              </w:rPr>
              <w:instrText>ADDIN CSL_CITATION {"citationItems":[{"id":"ITEM-1","itemData":{"URL":"https://research.csiro.au/hyresource/hydrogen-park-south-australia/","accessed":{"date-parts":[["2021","7","28"]]},"author":[{"dropping-particle":"","family":"CSIRO","given":"","non-dropping-particle":"","parse-names":false,"suffix":""}],"container-title":"HyResource","id":"ITEM-1","issued":{"date-parts":[["2021"]]},"title":"Hydrogen Park South Australia","type":"webpage"},"uris":["http://www.mendeley.com/documents/?uuid=c618af36-79a4-3057-9c87-1ddae49af29a"]}],"mendeley":{"formattedCitation":"&lt;sup&gt;55&lt;/sup&gt;","plainTextFormattedCitation":"55","previouslyFormattedCitation":"&lt;sup&gt;55&lt;/sup&gt;"},"properties":{"noteIndex":0},"schema":"https://github.com/citation-style-language/schema/raw/master/csl-citation.json"}</w:instrText>
            </w:r>
            <w:r w:rsidR="00FF4E1A">
              <w:rPr>
                <w:sz w:val="18"/>
                <w:szCs w:val="18"/>
                <w:lang w:val="en-GB"/>
              </w:rPr>
              <w:fldChar w:fldCharType="separate"/>
            </w:r>
            <w:r w:rsidR="00C3381F" w:rsidRPr="00C3381F">
              <w:rPr>
                <w:noProof/>
                <w:sz w:val="18"/>
                <w:szCs w:val="18"/>
                <w:vertAlign w:val="superscript"/>
                <w:lang w:val="en-GB"/>
              </w:rPr>
              <w:t>55</w:t>
            </w:r>
            <w:r w:rsidR="00FF4E1A">
              <w:rPr>
                <w:sz w:val="18"/>
                <w:szCs w:val="18"/>
                <w:lang w:val="en-GB"/>
              </w:rPr>
              <w:fldChar w:fldCharType="end"/>
            </w:r>
          </w:p>
        </w:tc>
        <w:tc>
          <w:tcPr>
            <w:tcW w:w="1620" w:type="dxa"/>
            <w:gridSpan w:val="2"/>
          </w:tcPr>
          <w:p w14:paraId="1CA2987C" w14:textId="77777777" w:rsidR="00C039E1" w:rsidRPr="00921944" w:rsidRDefault="00C039E1" w:rsidP="00BA2C8B">
            <w:pPr>
              <w:pStyle w:val="ListParagraph"/>
              <w:tabs>
                <w:tab w:val="clear" w:pos="357"/>
                <w:tab w:val="left" w:pos="0"/>
              </w:tabs>
              <w:ind w:left="0"/>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GB"/>
              </w:rPr>
              <w:lastRenderedPageBreak/>
              <w:t>Tonsley Innovation District, SA</w:t>
            </w:r>
          </w:p>
        </w:tc>
        <w:tc>
          <w:tcPr>
            <w:tcW w:w="2059" w:type="dxa"/>
            <w:gridSpan w:val="2"/>
          </w:tcPr>
          <w:p w14:paraId="19B02376" w14:textId="19A6661F" w:rsidR="008F33A9" w:rsidRDefault="008F33A9"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20 kg</w:t>
            </w:r>
            <w:r w:rsidR="0026682F">
              <w:rPr>
                <w:sz w:val="18"/>
                <w:szCs w:val="18"/>
                <w:lang w:val="en-US"/>
              </w:rPr>
              <w:t xml:space="preserve"> per hour of H</w:t>
            </w:r>
            <w:r w:rsidR="0026682F" w:rsidRPr="0026682F">
              <w:rPr>
                <w:sz w:val="18"/>
                <w:szCs w:val="18"/>
                <w:vertAlign w:val="subscript"/>
                <w:lang w:val="en-US"/>
              </w:rPr>
              <w:t>2</w:t>
            </w:r>
          </w:p>
          <w:p w14:paraId="24C08E16" w14:textId="25F7421D" w:rsidR="00C039E1" w:rsidRPr="00921944" w:rsidRDefault="008F33A9"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w:t>
            </w:r>
            <w:r w:rsidR="00C039E1" w:rsidRPr="00921944">
              <w:rPr>
                <w:sz w:val="18"/>
                <w:szCs w:val="18"/>
                <w:lang w:val="en-US"/>
              </w:rPr>
              <w:t xml:space="preserve">1.25 MW </w:t>
            </w:r>
            <w:r w:rsidR="0053565C">
              <w:rPr>
                <w:sz w:val="18"/>
                <w:szCs w:val="18"/>
                <w:lang w:val="en-US"/>
              </w:rPr>
              <w:t>electrolyser</w:t>
            </w:r>
            <w:r>
              <w:rPr>
                <w:sz w:val="18"/>
                <w:szCs w:val="18"/>
                <w:lang w:val="en-US"/>
              </w:rPr>
              <w:t>)</w:t>
            </w:r>
          </w:p>
        </w:tc>
        <w:tc>
          <w:tcPr>
            <w:tcW w:w="2064" w:type="dxa"/>
            <w:gridSpan w:val="2"/>
          </w:tcPr>
          <w:p w14:paraId="0A17AEF2" w14:textId="77777777" w:rsidR="00C039E1" w:rsidRPr="00921944" w:rsidRDefault="00C039E1"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tc>
        <w:tc>
          <w:tcPr>
            <w:tcW w:w="1388" w:type="dxa"/>
          </w:tcPr>
          <w:p w14:paraId="499F424B" w14:textId="04DFAABA"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39C2CDF0" wp14:editId="254F087B">
                  <wp:extent cx="461882" cy="477078"/>
                  <wp:effectExtent l="0" t="0" r="0" b="0"/>
                  <wp:docPr id="112" name="Picture 1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gridSpan w:val="2"/>
          </w:tcPr>
          <w:p w14:paraId="7DBF22EA" w14:textId="576D40D5" w:rsidR="00C039E1" w:rsidRPr="00921944" w:rsidRDefault="28449894" w:rsidP="00BA2C8B">
            <w:pPr>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580AAC80" wp14:editId="58133B6F">
                  <wp:extent cx="461882" cy="477078"/>
                  <wp:effectExtent l="0" t="0" r="0" b="0"/>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tcPr>
          <w:p w14:paraId="28AB6BE3" w14:textId="77777777" w:rsidR="00C039E1" w:rsidRPr="00921944" w:rsidRDefault="00C039E1" w:rsidP="00BA2C8B">
            <w:pPr>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Operational</w:t>
            </w:r>
          </w:p>
        </w:tc>
      </w:tr>
      <w:tr w:rsidR="00EA2883" w:rsidRPr="00921944" w14:paraId="6D353B48"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3E56514A" w14:textId="79624F0D" w:rsidR="00C039E1" w:rsidRPr="00921944" w:rsidRDefault="00C039E1" w:rsidP="00BA2C8B">
            <w:pPr>
              <w:rPr>
                <w:sz w:val="18"/>
                <w:szCs w:val="18"/>
                <w:lang w:val="en-US"/>
              </w:rPr>
            </w:pPr>
            <w:r w:rsidRPr="00921944">
              <w:rPr>
                <w:sz w:val="18"/>
                <w:szCs w:val="18"/>
                <w:lang w:val="en-US"/>
              </w:rPr>
              <w:t>2</w:t>
            </w:r>
            <w:r w:rsidR="007A1DBD">
              <w:rPr>
                <w:sz w:val="18"/>
                <w:szCs w:val="18"/>
                <w:lang w:val="en-US"/>
              </w:rPr>
              <w:t>4</w:t>
            </w:r>
            <w:r w:rsidRPr="00921944">
              <w:rPr>
                <w:sz w:val="18"/>
                <w:szCs w:val="18"/>
                <w:lang w:val="en-US"/>
              </w:rPr>
              <w:t>.</w:t>
            </w:r>
          </w:p>
        </w:tc>
        <w:tc>
          <w:tcPr>
            <w:tcW w:w="3153" w:type="dxa"/>
            <w:gridSpan w:val="2"/>
            <w:shd w:val="clear" w:color="auto" w:fill="FFFFFF" w:themeFill="background1"/>
          </w:tcPr>
          <w:p w14:paraId="1079557C" w14:textId="77777777" w:rsidR="00C039E1" w:rsidRPr="00921944" w:rsidRDefault="00C039E1" w:rsidP="00BA2C8B">
            <w:pPr>
              <w:ind w:right="153"/>
              <w:cnfStyle w:val="000000010000" w:firstRow="0" w:lastRow="0" w:firstColumn="0" w:lastColumn="0" w:oddVBand="0" w:evenVBand="0" w:oddHBand="0" w:evenHBand="1" w:firstRowFirstColumn="0" w:firstRowLastColumn="0" w:lastRowFirstColumn="0" w:lastRowLastColumn="0"/>
              <w:rPr>
                <w:b/>
                <w:bCs/>
                <w:sz w:val="18"/>
                <w:szCs w:val="18"/>
                <w:lang w:val="en-US"/>
              </w:rPr>
            </w:pPr>
            <w:proofErr w:type="spellStart"/>
            <w:r w:rsidRPr="00921944">
              <w:rPr>
                <w:b/>
                <w:bCs/>
                <w:sz w:val="18"/>
                <w:szCs w:val="18"/>
                <w:lang w:val="en-US"/>
              </w:rPr>
              <w:t>Neoen</w:t>
            </w:r>
            <w:proofErr w:type="spellEnd"/>
            <w:r w:rsidRPr="00921944">
              <w:rPr>
                <w:b/>
                <w:bCs/>
                <w:sz w:val="18"/>
                <w:szCs w:val="18"/>
                <w:lang w:val="en-US"/>
              </w:rPr>
              <w:t xml:space="preserve"> Australian Hydrogen Superhub</w:t>
            </w:r>
          </w:p>
          <w:p w14:paraId="57082DAE" w14:textId="77777777" w:rsidR="00F52DB1" w:rsidRPr="00A6278A" w:rsidRDefault="00C039E1" w:rsidP="00BA2C8B">
            <w:pPr>
              <w:spacing w:before="240" w:after="120"/>
              <w:ind w:right="153"/>
              <w:jc w:val="both"/>
              <w:cnfStyle w:val="000000010000" w:firstRow="0" w:lastRow="0" w:firstColumn="0" w:lastColumn="0" w:oddVBand="0" w:evenVBand="0" w:oddHBand="0" w:evenHBand="1" w:firstRowFirstColumn="0" w:firstRowLastColumn="0" w:lastRowFirstColumn="0" w:lastRowLastColumn="0"/>
              <w:rPr>
                <w:b/>
                <w:sz w:val="18"/>
                <w:szCs w:val="18"/>
                <w:lang w:val="en-US"/>
              </w:rPr>
            </w:pPr>
            <w:r w:rsidRPr="00921944">
              <w:rPr>
                <w:sz w:val="18"/>
                <w:szCs w:val="18"/>
                <w:lang w:val="en-US"/>
              </w:rPr>
              <w:t xml:space="preserve">The </w:t>
            </w:r>
            <w:proofErr w:type="spellStart"/>
            <w:r w:rsidRPr="00921944">
              <w:rPr>
                <w:sz w:val="18"/>
                <w:szCs w:val="18"/>
                <w:lang w:val="en-US"/>
              </w:rPr>
              <w:t>Neoen</w:t>
            </w:r>
            <w:proofErr w:type="spellEnd"/>
            <w:r w:rsidRPr="00921944">
              <w:rPr>
                <w:sz w:val="18"/>
                <w:szCs w:val="18"/>
                <w:lang w:val="en-US"/>
              </w:rPr>
              <w:t xml:space="preserve"> hydrogen superhub project is being developed as part of the Crystal Brook Energy Park. </w:t>
            </w:r>
          </w:p>
          <w:p w14:paraId="3027DC5B" w14:textId="0635B0D0" w:rsidR="00F52DB1" w:rsidRPr="00A6278A" w:rsidRDefault="00C039E1" w:rsidP="00BA2C8B">
            <w:pPr>
              <w:spacing w:before="240" w:after="120"/>
              <w:ind w:right="153"/>
              <w:jc w:val="both"/>
              <w:cnfStyle w:val="000000010000" w:firstRow="0" w:lastRow="0" w:firstColumn="0" w:lastColumn="0" w:oddVBand="0" w:evenVBand="0" w:oddHBand="0" w:evenHBand="1" w:firstRowFirstColumn="0" w:firstRowLastColumn="0" w:lastRowFirstColumn="0" w:lastRowLastColumn="0"/>
              <w:rPr>
                <w:b/>
                <w:sz w:val="18"/>
                <w:szCs w:val="18"/>
                <w:lang w:val="en-US"/>
              </w:rPr>
            </w:pPr>
            <w:r w:rsidRPr="00A6278A">
              <w:rPr>
                <w:bCs/>
                <w:sz w:val="18"/>
                <w:szCs w:val="18"/>
                <w:lang w:val="en-US"/>
              </w:rPr>
              <w:t xml:space="preserve">The energy park will have a renewable energy generation capacity of 275 MW and 50 MW </w:t>
            </w:r>
            <w:r w:rsidR="0053565C" w:rsidRPr="00A6278A">
              <w:rPr>
                <w:bCs/>
                <w:sz w:val="18"/>
                <w:szCs w:val="18"/>
                <w:lang w:val="en-US"/>
              </w:rPr>
              <w:t>electrolyser</w:t>
            </w:r>
            <w:r w:rsidRPr="00A6278A">
              <w:rPr>
                <w:bCs/>
                <w:sz w:val="18"/>
                <w:szCs w:val="18"/>
                <w:lang w:val="en-US"/>
              </w:rPr>
              <w:t xml:space="preserve"> is being proposed as a potential load.</w:t>
            </w:r>
            <w:r w:rsidR="00380BBE" w:rsidRPr="00A6278A">
              <w:rPr>
                <w:bCs/>
                <w:sz w:val="18"/>
                <w:szCs w:val="18"/>
                <w:lang w:val="en-US"/>
              </w:rPr>
              <w:fldChar w:fldCharType="begin" w:fldLock="1"/>
            </w:r>
            <w:r w:rsidR="00D21B34">
              <w:rPr>
                <w:bCs/>
                <w:sz w:val="18"/>
                <w:szCs w:val="18"/>
                <w:lang w:val="en-US"/>
              </w:rPr>
              <w:instrText>ADDIN CSL_CITATION {"citationItems":[{"id":"ITEM-1","itemData":{"URL":"http://www.renewablessa.sa.gov.au/topic/hydrogen/hydrogen-projects-south-australia/neoen-australia-hydrogen-super-hub","accessed":{"date-parts":[["2021","3","23"]]},"author":[{"dropping-particle":"","family":"Renewables SA","given":"","non-dropping-particle":"","parse-names":false,"suffix":""},{"dropping-particle":"","family":"Government of South Australia","given":"","non-dropping-particle":"","parse-names":false,"suffix":""}],"id":"ITEM-1","issued":{"date-parts":[["0"]]},"title":"Neoen Australia Hydrogen Superhub","type":"webpage"},"uris":["http://www.mendeley.com/documents/?uuid=137eb5c4-e557-3128-83d1-04b5b64c3d28"]}],"mendeley":{"formattedCitation":"&lt;sup&gt;56&lt;/sup&gt;","plainTextFormattedCitation":"56","previouslyFormattedCitation":"&lt;sup&gt;56&lt;/sup&gt;"},"properties":{"noteIndex":0},"schema":"https://github.com/citation-style-language/schema/raw/master/csl-citation.json"}</w:instrText>
            </w:r>
            <w:r w:rsidR="00380BBE" w:rsidRPr="00A6278A">
              <w:rPr>
                <w:bCs/>
                <w:sz w:val="18"/>
                <w:szCs w:val="18"/>
                <w:lang w:val="en-US"/>
              </w:rPr>
              <w:fldChar w:fldCharType="separate"/>
            </w:r>
            <w:r w:rsidR="00C3381F" w:rsidRPr="00C3381F">
              <w:rPr>
                <w:bCs/>
                <w:noProof/>
                <w:sz w:val="18"/>
                <w:szCs w:val="18"/>
                <w:vertAlign w:val="superscript"/>
                <w:lang w:val="en-US"/>
              </w:rPr>
              <w:t>56</w:t>
            </w:r>
            <w:r w:rsidR="00380BBE" w:rsidRPr="00A6278A">
              <w:rPr>
                <w:bCs/>
                <w:sz w:val="18"/>
                <w:szCs w:val="18"/>
                <w:lang w:val="en-US"/>
              </w:rPr>
              <w:fldChar w:fldCharType="end"/>
            </w:r>
            <w:r w:rsidRPr="00A6278A">
              <w:rPr>
                <w:bCs/>
                <w:sz w:val="18"/>
                <w:szCs w:val="18"/>
                <w:lang w:val="en-US"/>
              </w:rPr>
              <w:t xml:space="preserve"> </w:t>
            </w:r>
          </w:p>
          <w:p w14:paraId="19D1221B" w14:textId="3AAB5C2F" w:rsidR="00C039E1" w:rsidRPr="00A6278A" w:rsidRDefault="00C01E47" w:rsidP="00BA2C8B">
            <w:pPr>
              <w:spacing w:before="240" w:after="120"/>
              <w:ind w:right="153"/>
              <w:jc w:val="both"/>
              <w:cnfStyle w:val="000000010000" w:firstRow="0" w:lastRow="0" w:firstColumn="0" w:lastColumn="0" w:oddVBand="0" w:evenVBand="0" w:oddHBand="0" w:evenHBand="1" w:firstRowFirstColumn="0" w:firstRowLastColumn="0" w:lastRowFirstColumn="0" w:lastRowLastColumn="0"/>
              <w:rPr>
                <w:b/>
                <w:sz w:val="18"/>
                <w:szCs w:val="18"/>
                <w:lang w:val="en-US"/>
              </w:rPr>
            </w:pPr>
            <w:r>
              <w:rPr>
                <w:sz w:val="18"/>
                <w:szCs w:val="18"/>
                <w:lang w:val="en-US"/>
              </w:rPr>
              <w:t>T</w:t>
            </w:r>
            <w:r w:rsidR="00C039E1" w:rsidRPr="00921944">
              <w:rPr>
                <w:sz w:val="18"/>
                <w:szCs w:val="18"/>
                <w:lang w:val="en-US"/>
              </w:rPr>
              <w:t>he SA Government provided $1 million in grant funding to Neon for carrying out a feasibility study. Additional funding of $4 million in grant and $20 million in loans have been committed for eventual construction and investment into the project.</w:t>
            </w:r>
            <w:r w:rsidR="008E141B">
              <w:rPr>
                <w:sz w:val="18"/>
                <w:szCs w:val="18"/>
                <w:lang w:val="en-US"/>
              </w:rPr>
              <w:t xml:space="preserve"> The estimated cost of the pro</w:t>
            </w:r>
            <w:r w:rsidR="0062589A">
              <w:rPr>
                <w:sz w:val="18"/>
                <w:szCs w:val="18"/>
                <w:lang w:val="en-US"/>
              </w:rPr>
              <w:t>ject is ~A$500 million.</w:t>
            </w:r>
            <w:r w:rsidR="00887F51" w:rsidRPr="00A6278A">
              <w:rPr>
                <w:bCs/>
                <w:sz w:val="18"/>
                <w:szCs w:val="18"/>
                <w:lang w:val="en-US"/>
              </w:rPr>
              <w:fldChar w:fldCharType="begin" w:fldLock="1"/>
            </w:r>
            <w:r w:rsidR="00D21B34">
              <w:rPr>
                <w:bCs/>
                <w:sz w:val="18"/>
                <w:szCs w:val="18"/>
                <w:lang w:val="en-US"/>
              </w:rPr>
              <w:instrText>ADDIN CSL_CITATION {"citationItems":[{"id":"ITEM-1","itemData":{"URL":"https://research.csiro.au/hyresource/neoen-australia-hydrogen-superhub-crystal-brook-energy-park/","accessed":{"date-parts":[["2021","7","15"]]},"author":[{"dropping-particle":"","family":"CSIRO","given":"","non-dropping-particle":"","parse-names":false,"suffix":""}],"container-title":"HyResource","id":"ITEM-1","issued":{"date-parts":[["0"]]},"title":"Neoen Australia Hydrogen Superhub (Crystal Brook Energy Park)","type":"webpage"},"uris":["http://www.mendeley.com/documents/?uuid=6c15ff32-2dfd-3c98-8430-a25ffa222f66"]}],"mendeley":{"formattedCitation":"&lt;sup&gt;57&lt;/sup&gt;","plainTextFormattedCitation":"57","previouslyFormattedCitation":"&lt;sup&gt;57&lt;/sup&gt;"},"properties":{"noteIndex":0},"schema":"https://github.com/citation-style-language/schema/raw/master/csl-citation.json"}</w:instrText>
            </w:r>
            <w:r w:rsidR="00887F51" w:rsidRPr="00A6278A">
              <w:rPr>
                <w:bCs/>
                <w:sz w:val="18"/>
                <w:szCs w:val="18"/>
                <w:lang w:val="en-US"/>
              </w:rPr>
              <w:fldChar w:fldCharType="separate"/>
            </w:r>
            <w:r w:rsidR="00C3381F" w:rsidRPr="00C3381F">
              <w:rPr>
                <w:bCs/>
                <w:noProof/>
                <w:sz w:val="18"/>
                <w:szCs w:val="18"/>
                <w:vertAlign w:val="superscript"/>
                <w:lang w:val="en-US"/>
              </w:rPr>
              <w:t>57</w:t>
            </w:r>
            <w:r w:rsidR="00887F51" w:rsidRPr="00A6278A">
              <w:rPr>
                <w:bCs/>
                <w:sz w:val="18"/>
                <w:szCs w:val="18"/>
                <w:lang w:val="en-US"/>
              </w:rPr>
              <w:fldChar w:fldCharType="end"/>
            </w:r>
          </w:p>
        </w:tc>
        <w:tc>
          <w:tcPr>
            <w:tcW w:w="1620" w:type="dxa"/>
            <w:gridSpan w:val="2"/>
            <w:shd w:val="clear" w:color="auto" w:fill="FFFFFF" w:themeFill="background1"/>
          </w:tcPr>
          <w:p w14:paraId="07163829" w14:textId="77777777" w:rsidR="00C039E1" w:rsidRPr="00A6278A" w:rsidRDefault="00C039E1" w:rsidP="00BA2C8B">
            <w:pPr>
              <w:pStyle w:val="ListParagraph"/>
              <w:tabs>
                <w:tab w:val="clear" w:pos="357"/>
                <w:tab w:val="left" w:pos="0"/>
              </w:tabs>
              <w:ind w:left="0"/>
              <w:contextualSpacing w:val="0"/>
              <w:jc w:val="both"/>
              <w:cnfStyle w:val="000000010000" w:firstRow="0" w:lastRow="0" w:firstColumn="0" w:lastColumn="0" w:oddVBand="0" w:evenVBand="0" w:oddHBand="0" w:evenHBand="1" w:firstRowFirstColumn="0" w:firstRowLastColumn="0" w:lastRowFirstColumn="0" w:lastRowLastColumn="0"/>
              <w:rPr>
                <w:b/>
                <w:sz w:val="18"/>
                <w:szCs w:val="18"/>
                <w:lang w:val="en-GB"/>
              </w:rPr>
            </w:pPr>
            <w:r w:rsidRPr="00921944">
              <w:rPr>
                <w:sz w:val="18"/>
                <w:szCs w:val="18"/>
                <w:lang w:val="en-GB"/>
              </w:rPr>
              <w:t>Crystal Brook,</w:t>
            </w:r>
          </w:p>
          <w:p w14:paraId="7A7521E8" w14:textId="77777777" w:rsidR="00C039E1" w:rsidRPr="00A6278A" w:rsidRDefault="00C039E1" w:rsidP="00BA2C8B">
            <w:pPr>
              <w:pStyle w:val="ListParagraph"/>
              <w:tabs>
                <w:tab w:val="clear" w:pos="357"/>
                <w:tab w:val="left" w:pos="0"/>
              </w:tabs>
              <w:ind w:left="0"/>
              <w:contextualSpacing w:val="0"/>
              <w:jc w:val="both"/>
              <w:cnfStyle w:val="000000010000" w:firstRow="0" w:lastRow="0" w:firstColumn="0" w:lastColumn="0" w:oddVBand="0" w:evenVBand="0" w:oddHBand="0" w:evenHBand="1" w:firstRowFirstColumn="0" w:firstRowLastColumn="0" w:lastRowFirstColumn="0" w:lastRowLastColumn="0"/>
              <w:rPr>
                <w:b/>
                <w:sz w:val="18"/>
                <w:szCs w:val="18"/>
                <w:lang w:val="en-GB"/>
              </w:rPr>
            </w:pPr>
            <w:r w:rsidRPr="00921944">
              <w:rPr>
                <w:sz w:val="18"/>
                <w:szCs w:val="18"/>
                <w:lang w:val="en-GB"/>
              </w:rPr>
              <w:t>SA.</w:t>
            </w:r>
          </w:p>
        </w:tc>
        <w:tc>
          <w:tcPr>
            <w:tcW w:w="2059" w:type="dxa"/>
            <w:gridSpan w:val="2"/>
            <w:shd w:val="clear" w:color="auto" w:fill="FFFFFF" w:themeFill="background1"/>
          </w:tcPr>
          <w:p w14:paraId="262B45CB" w14:textId="48DFFAF1" w:rsidR="00C92121" w:rsidRPr="00A6278A" w:rsidRDefault="00C039E1" w:rsidP="00BA2C8B">
            <w:pPr>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sz w:val="18"/>
                <w:szCs w:val="18"/>
                <w:lang w:val="en-US"/>
              </w:rPr>
              <w:t xml:space="preserve">25 </w:t>
            </w:r>
            <w:proofErr w:type="spellStart"/>
            <w:r w:rsidR="00F52DB1">
              <w:rPr>
                <w:sz w:val="18"/>
                <w:szCs w:val="18"/>
                <w:lang w:val="en-US"/>
              </w:rPr>
              <w:t>tpd</w:t>
            </w:r>
            <w:proofErr w:type="spellEnd"/>
            <w:r w:rsidR="00F52DB1">
              <w:rPr>
                <w:sz w:val="18"/>
                <w:szCs w:val="18"/>
                <w:lang w:val="en-US"/>
              </w:rPr>
              <w:t xml:space="preserve"> </w:t>
            </w:r>
            <w:r w:rsidR="00C92121" w:rsidRPr="00A6278A">
              <w:rPr>
                <w:bCs/>
                <w:sz w:val="18"/>
                <w:szCs w:val="18"/>
                <w:lang w:val="en-US"/>
              </w:rPr>
              <w:t>of H</w:t>
            </w:r>
            <w:r w:rsidR="00C92121" w:rsidRPr="00A6278A">
              <w:rPr>
                <w:bCs/>
                <w:sz w:val="18"/>
                <w:szCs w:val="18"/>
                <w:vertAlign w:val="subscript"/>
                <w:lang w:val="en-US"/>
              </w:rPr>
              <w:t>2</w:t>
            </w:r>
          </w:p>
          <w:p w14:paraId="7AA2B724" w14:textId="5AFFE619" w:rsidR="00C039E1" w:rsidRPr="00A6278A" w:rsidRDefault="00C039E1" w:rsidP="00BA2C8B">
            <w:pPr>
              <w:cnfStyle w:val="000000010000" w:firstRow="0" w:lastRow="0" w:firstColumn="0" w:lastColumn="0" w:oddVBand="0" w:evenVBand="0" w:oddHBand="0" w:evenHBand="1" w:firstRowFirstColumn="0" w:firstRowLastColumn="0" w:lastRowFirstColumn="0" w:lastRowLastColumn="0"/>
              <w:rPr>
                <w:b/>
                <w:sz w:val="18"/>
                <w:szCs w:val="18"/>
                <w:lang w:val="en-US"/>
              </w:rPr>
            </w:pPr>
            <w:r w:rsidRPr="00921944">
              <w:rPr>
                <w:sz w:val="18"/>
                <w:szCs w:val="18"/>
                <w:lang w:val="en-US"/>
              </w:rPr>
              <w:t xml:space="preserve">(50 MW </w:t>
            </w:r>
            <w:r w:rsidR="0053565C">
              <w:rPr>
                <w:sz w:val="18"/>
                <w:szCs w:val="18"/>
                <w:lang w:val="en-US"/>
              </w:rPr>
              <w:t>electrolyser</w:t>
            </w:r>
            <w:r w:rsidRPr="00921944">
              <w:rPr>
                <w:sz w:val="18"/>
                <w:szCs w:val="18"/>
                <w:lang w:val="en-US"/>
              </w:rPr>
              <w:t>)</w:t>
            </w:r>
          </w:p>
        </w:tc>
        <w:tc>
          <w:tcPr>
            <w:tcW w:w="2064" w:type="dxa"/>
            <w:gridSpan w:val="2"/>
            <w:shd w:val="clear" w:color="auto" w:fill="FFFFFF" w:themeFill="background1"/>
          </w:tcPr>
          <w:p w14:paraId="0DA706B0" w14:textId="77777777" w:rsidR="00C50826" w:rsidRPr="00A6278A" w:rsidRDefault="00C039E1" w:rsidP="00BA2C8B">
            <w:pPr>
              <w:cnfStyle w:val="000000010000" w:firstRow="0" w:lastRow="0" w:firstColumn="0" w:lastColumn="0" w:oddVBand="0" w:evenVBand="0" w:oddHBand="0" w:evenHBand="1" w:firstRowFirstColumn="0" w:firstRowLastColumn="0" w:lastRowFirstColumn="0" w:lastRowLastColumn="0"/>
              <w:rPr>
                <w:b/>
                <w:sz w:val="18"/>
                <w:szCs w:val="18"/>
                <w:lang w:val="en-US"/>
              </w:rPr>
            </w:pPr>
            <w:r w:rsidRPr="00921944">
              <w:rPr>
                <w:sz w:val="18"/>
                <w:szCs w:val="18"/>
                <w:lang w:val="en-US"/>
              </w:rPr>
              <w:t>Commercial Plant</w:t>
            </w:r>
          </w:p>
          <w:p w14:paraId="4F58D5A4" w14:textId="51130E1A" w:rsidR="00C039E1" w:rsidRPr="00A6278A" w:rsidRDefault="00C50826" w:rsidP="00BA2C8B">
            <w:pPr>
              <w:cnfStyle w:val="000000010000" w:firstRow="0" w:lastRow="0" w:firstColumn="0" w:lastColumn="0" w:oddVBand="0" w:evenVBand="0" w:oddHBand="0" w:evenHBand="1" w:firstRowFirstColumn="0" w:firstRowLastColumn="0" w:lastRowFirstColumn="0" w:lastRowLastColumn="0"/>
              <w:rPr>
                <w:b/>
                <w:sz w:val="18"/>
                <w:szCs w:val="18"/>
                <w:lang w:val="en-US"/>
              </w:rPr>
            </w:pPr>
            <w:r>
              <w:rPr>
                <w:sz w:val="18"/>
                <w:szCs w:val="18"/>
                <w:lang w:val="en-US"/>
              </w:rPr>
              <w:t>(</w:t>
            </w:r>
            <w:r w:rsidR="008B19F4">
              <w:rPr>
                <w:sz w:val="18"/>
                <w:szCs w:val="18"/>
                <w:lang w:val="en-US"/>
              </w:rPr>
              <w:t>Under</w:t>
            </w:r>
            <w:r w:rsidR="00C10FC2">
              <w:rPr>
                <w:sz w:val="18"/>
                <w:szCs w:val="18"/>
                <w:lang w:val="en-US"/>
              </w:rPr>
              <w:t xml:space="preserve"> development</w:t>
            </w:r>
            <w:r>
              <w:rPr>
                <w:sz w:val="18"/>
                <w:szCs w:val="18"/>
                <w:lang w:val="en-US"/>
              </w:rPr>
              <w:t>)</w:t>
            </w:r>
            <w:r w:rsidR="00C039E1" w:rsidRPr="00921944">
              <w:rPr>
                <w:sz w:val="18"/>
                <w:szCs w:val="18"/>
                <w:lang w:val="en-US"/>
              </w:rPr>
              <w:t xml:space="preserve"> </w:t>
            </w:r>
          </w:p>
        </w:tc>
        <w:tc>
          <w:tcPr>
            <w:tcW w:w="1388" w:type="dxa"/>
            <w:shd w:val="clear" w:color="auto" w:fill="FFFFFF" w:themeFill="background1"/>
          </w:tcPr>
          <w:p w14:paraId="1E08CE45" w14:textId="1154BFE9" w:rsidR="00C039E1" w:rsidRPr="00A6278A" w:rsidRDefault="28449894"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b/>
                <w:sz w:val="18"/>
                <w:szCs w:val="18"/>
              </w:rPr>
            </w:pPr>
            <w:r>
              <w:rPr>
                <w:noProof/>
              </w:rPr>
              <w:drawing>
                <wp:inline distT="0" distB="0" distL="0" distR="0" wp14:anchorId="0D666DF1" wp14:editId="4C5889E6">
                  <wp:extent cx="461882" cy="477078"/>
                  <wp:effectExtent l="0" t="0" r="0" b="0"/>
                  <wp:docPr id="115" name="Picture 1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gridSpan w:val="2"/>
            <w:shd w:val="clear" w:color="auto" w:fill="FFFFFF" w:themeFill="background1"/>
          </w:tcPr>
          <w:p w14:paraId="52DDF0CD" w14:textId="3A357D01" w:rsidR="00C039E1" w:rsidRPr="00A6278A" w:rsidRDefault="28449894" w:rsidP="00BA2C8B">
            <w:pPr>
              <w:jc w:val="center"/>
              <w:cnfStyle w:val="000000010000" w:firstRow="0" w:lastRow="0" w:firstColumn="0" w:lastColumn="0" w:oddVBand="0" w:evenVBand="0" w:oddHBand="0" w:evenHBand="1" w:firstRowFirstColumn="0" w:firstRowLastColumn="0" w:lastRowFirstColumn="0" w:lastRowLastColumn="0"/>
              <w:rPr>
                <w:b/>
                <w:sz w:val="18"/>
                <w:szCs w:val="18"/>
              </w:rPr>
            </w:pPr>
            <w:r>
              <w:rPr>
                <w:noProof/>
              </w:rPr>
              <w:drawing>
                <wp:inline distT="0" distB="0" distL="0" distR="0" wp14:anchorId="328916A5" wp14:editId="172526DC">
                  <wp:extent cx="461882" cy="477078"/>
                  <wp:effectExtent l="0" t="0" r="0" b="0"/>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01" w:type="dxa"/>
            <w:shd w:val="clear" w:color="auto" w:fill="FFFFFF" w:themeFill="background1"/>
          </w:tcPr>
          <w:p w14:paraId="476C3142" w14:textId="6310EE75" w:rsidR="00026A64" w:rsidRPr="00A6278A" w:rsidRDefault="00C039E1" w:rsidP="00026A64">
            <w:pPr>
              <w:pStyle w:val="ListParagraph"/>
              <w:numPr>
                <w:ilvl w:val="0"/>
                <w:numId w:val="33"/>
              </w:numPr>
              <w:ind w:left="312"/>
              <w:cnfStyle w:val="000000010000" w:firstRow="0" w:lastRow="0" w:firstColumn="0" w:lastColumn="0" w:oddVBand="0" w:evenVBand="0" w:oddHBand="0" w:evenHBand="1" w:firstRowFirstColumn="0" w:firstRowLastColumn="0" w:lastRowFirstColumn="0" w:lastRowLastColumn="0"/>
              <w:rPr>
                <w:b/>
                <w:sz w:val="18"/>
                <w:szCs w:val="18"/>
                <w:lang w:val="en-US"/>
              </w:rPr>
            </w:pPr>
            <w:r w:rsidRPr="00026A64">
              <w:rPr>
                <w:sz w:val="18"/>
                <w:szCs w:val="18"/>
                <w:lang w:val="en-US"/>
              </w:rPr>
              <w:t xml:space="preserve">Feasibility study completed </w:t>
            </w:r>
            <w:r w:rsidR="00C10FC2">
              <w:rPr>
                <w:sz w:val="18"/>
                <w:szCs w:val="18"/>
                <w:lang w:val="en-US"/>
              </w:rPr>
              <w:t>in</w:t>
            </w:r>
            <w:r w:rsidRPr="00026A64">
              <w:rPr>
                <w:sz w:val="18"/>
                <w:szCs w:val="18"/>
                <w:lang w:val="en-US"/>
              </w:rPr>
              <w:t xml:space="preserve"> 2018.</w:t>
            </w:r>
          </w:p>
          <w:p w14:paraId="54F28C9E" w14:textId="77777777" w:rsidR="0044465E" w:rsidRPr="00A6278A" w:rsidRDefault="0044465E" w:rsidP="0044465E">
            <w:pPr>
              <w:pStyle w:val="ListParagraph"/>
              <w:ind w:left="312"/>
              <w:cnfStyle w:val="000000010000" w:firstRow="0" w:lastRow="0" w:firstColumn="0" w:lastColumn="0" w:oddVBand="0" w:evenVBand="0" w:oddHBand="0" w:evenHBand="1" w:firstRowFirstColumn="0" w:firstRowLastColumn="0" w:lastRowFirstColumn="0" w:lastRowLastColumn="0"/>
              <w:rPr>
                <w:b/>
                <w:sz w:val="18"/>
                <w:szCs w:val="18"/>
                <w:lang w:val="en-US"/>
              </w:rPr>
            </w:pPr>
          </w:p>
          <w:p w14:paraId="06CE3C83" w14:textId="77777777" w:rsidR="00E64725" w:rsidRPr="00A6278A" w:rsidRDefault="00C039E1" w:rsidP="008B19F4">
            <w:pPr>
              <w:pStyle w:val="ListParagraph"/>
              <w:numPr>
                <w:ilvl w:val="0"/>
                <w:numId w:val="33"/>
              </w:numPr>
              <w:ind w:left="312"/>
              <w:cnfStyle w:val="000000010000" w:firstRow="0" w:lastRow="0" w:firstColumn="0" w:lastColumn="0" w:oddVBand="0" w:evenVBand="0" w:oddHBand="0" w:evenHBand="1" w:firstRowFirstColumn="0" w:firstRowLastColumn="0" w:lastRowFirstColumn="0" w:lastRowLastColumn="0"/>
              <w:rPr>
                <w:b/>
                <w:sz w:val="18"/>
                <w:szCs w:val="18"/>
                <w:lang w:val="en-US"/>
              </w:rPr>
            </w:pPr>
            <w:r w:rsidRPr="00026A64">
              <w:rPr>
                <w:sz w:val="18"/>
                <w:szCs w:val="18"/>
                <w:lang w:val="en-US"/>
              </w:rPr>
              <w:t>The company has since been provided with approvals by the SA government to proceed with developing the project facility</w:t>
            </w:r>
            <w:r w:rsidR="0083315C" w:rsidRPr="00026A64">
              <w:rPr>
                <w:sz w:val="18"/>
                <w:szCs w:val="18"/>
                <w:lang w:val="en-US"/>
              </w:rPr>
              <w:t xml:space="preserve">. </w:t>
            </w:r>
          </w:p>
          <w:p w14:paraId="1DD46E71" w14:textId="77777777" w:rsidR="0044465E" w:rsidRPr="00A6278A" w:rsidRDefault="0044465E" w:rsidP="0044465E">
            <w:pPr>
              <w:cnfStyle w:val="000000010000" w:firstRow="0" w:lastRow="0" w:firstColumn="0" w:lastColumn="0" w:oddVBand="0" w:evenVBand="0" w:oddHBand="0" w:evenHBand="1" w:firstRowFirstColumn="0" w:firstRowLastColumn="0" w:lastRowFirstColumn="0" w:lastRowLastColumn="0"/>
              <w:rPr>
                <w:b/>
                <w:sz w:val="18"/>
                <w:szCs w:val="18"/>
                <w:lang w:val="en-US"/>
              </w:rPr>
            </w:pPr>
          </w:p>
          <w:p w14:paraId="276BCA1B" w14:textId="15320A0B" w:rsidR="008B19F4" w:rsidRPr="00A6278A" w:rsidRDefault="008B19F4" w:rsidP="008B19F4">
            <w:pPr>
              <w:pStyle w:val="ListParagraph"/>
              <w:numPr>
                <w:ilvl w:val="0"/>
                <w:numId w:val="33"/>
              </w:numPr>
              <w:ind w:left="312"/>
              <w:cnfStyle w:val="000000010000" w:firstRow="0" w:lastRow="0" w:firstColumn="0" w:lastColumn="0" w:oddVBand="0" w:evenVBand="0" w:oddHBand="0" w:evenHBand="1" w:firstRowFirstColumn="0" w:firstRowLastColumn="0" w:lastRowFirstColumn="0" w:lastRowLastColumn="0"/>
              <w:rPr>
                <w:b/>
                <w:sz w:val="18"/>
                <w:szCs w:val="18"/>
                <w:lang w:val="en-US"/>
              </w:rPr>
            </w:pPr>
            <w:r>
              <w:rPr>
                <w:sz w:val="18"/>
                <w:szCs w:val="18"/>
                <w:lang w:val="en-US"/>
              </w:rPr>
              <w:t xml:space="preserve">The company is still assessing </w:t>
            </w:r>
            <w:r w:rsidR="0044465E">
              <w:rPr>
                <w:sz w:val="18"/>
                <w:szCs w:val="18"/>
                <w:lang w:val="en-US"/>
              </w:rPr>
              <w:t>its options to proceed beyond the prefeasibility stage.</w:t>
            </w:r>
            <w:r>
              <w:rPr>
                <w:sz w:val="18"/>
                <w:szCs w:val="18"/>
                <w:lang w:val="en-US"/>
              </w:rPr>
              <w:t xml:space="preserve"> </w:t>
            </w:r>
          </w:p>
        </w:tc>
      </w:tr>
      <w:tr w:rsidR="002800B9" w:rsidRPr="00921944" w14:paraId="267E4379"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2E303251" w14:textId="7C9FB4BC" w:rsidR="00C039E1" w:rsidRPr="00921944" w:rsidRDefault="00C039E1" w:rsidP="00BA2C8B">
            <w:pPr>
              <w:pStyle w:val="ListParagraph"/>
              <w:ind w:left="0"/>
              <w:contextualSpacing w:val="0"/>
              <w:rPr>
                <w:sz w:val="18"/>
                <w:szCs w:val="18"/>
                <w:lang w:val="en-US"/>
              </w:rPr>
            </w:pPr>
            <w:r w:rsidRPr="00921944">
              <w:rPr>
                <w:sz w:val="18"/>
                <w:szCs w:val="18"/>
                <w:lang w:val="en-US"/>
              </w:rPr>
              <w:t>2</w:t>
            </w:r>
            <w:r w:rsidR="007A1DBD">
              <w:rPr>
                <w:sz w:val="18"/>
                <w:szCs w:val="18"/>
                <w:lang w:val="en-US"/>
              </w:rPr>
              <w:t>5</w:t>
            </w:r>
            <w:r w:rsidRPr="00921944">
              <w:rPr>
                <w:sz w:val="18"/>
                <w:szCs w:val="18"/>
                <w:lang w:val="en-US"/>
              </w:rPr>
              <w:t>.</w:t>
            </w:r>
          </w:p>
        </w:tc>
        <w:tc>
          <w:tcPr>
            <w:tcW w:w="3153" w:type="dxa"/>
            <w:gridSpan w:val="2"/>
          </w:tcPr>
          <w:p w14:paraId="0A071C54" w14:textId="3C6623DB" w:rsidR="00C039E1" w:rsidRPr="00921944" w:rsidRDefault="00C039E1" w:rsidP="001E063E">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Eyre Peninsula Gateway Project (H2U</w:t>
            </w:r>
            <w:r w:rsidR="00A14AC2">
              <w:rPr>
                <w:b/>
                <w:bCs/>
                <w:sz w:val="18"/>
                <w:szCs w:val="18"/>
                <w:vertAlign w:val="superscript"/>
                <w:lang w:val="en-US"/>
              </w:rPr>
              <w:t>TM</w:t>
            </w:r>
            <w:r w:rsidRPr="00921944">
              <w:rPr>
                <w:b/>
                <w:bCs/>
                <w:sz w:val="18"/>
                <w:szCs w:val="18"/>
                <w:lang w:val="en-US"/>
              </w:rPr>
              <w:t>)</w:t>
            </w:r>
          </w:p>
          <w:p w14:paraId="56BF9699" w14:textId="6A3F4859" w:rsidR="00AB3EF3" w:rsidRDefault="00AB3EF3" w:rsidP="001E063E">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In addition to the project in Gladstone, H2</w:t>
            </w:r>
            <w:r w:rsidR="000F4355">
              <w:rPr>
                <w:sz w:val="18"/>
                <w:szCs w:val="18"/>
                <w:lang w:val="en-US"/>
              </w:rPr>
              <w:t>U</w:t>
            </w:r>
            <w:r w:rsidR="000F4355" w:rsidRPr="000F4355">
              <w:rPr>
                <w:sz w:val="18"/>
                <w:szCs w:val="18"/>
                <w:vertAlign w:val="superscript"/>
                <w:lang w:val="en-US"/>
              </w:rPr>
              <w:t>TM</w:t>
            </w:r>
            <w:r w:rsidR="000F4355">
              <w:rPr>
                <w:sz w:val="18"/>
                <w:szCs w:val="18"/>
                <w:lang w:val="en-US"/>
              </w:rPr>
              <w:t xml:space="preserve"> </w:t>
            </w:r>
            <w:r w:rsidR="008965FB">
              <w:rPr>
                <w:sz w:val="18"/>
                <w:szCs w:val="18"/>
                <w:lang w:val="en-US"/>
              </w:rPr>
              <w:t>is</w:t>
            </w:r>
            <w:r w:rsidR="000F4355">
              <w:rPr>
                <w:sz w:val="18"/>
                <w:szCs w:val="18"/>
                <w:lang w:val="en-US"/>
              </w:rPr>
              <w:t xml:space="preserve"> also developing </w:t>
            </w:r>
            <w:r w:rsidR="00561CF9">
              <w:rPr>
                <w:sz w:val="18"/>
                <w:szCs w:val="18"/>
                <w:lang w:val="en-US"/>
              </w:rPr>
              <w:t>another ammonia export facility in South Australia.</w:t>
            </w:r>
          </w:p>
          <w:p w14:paraId="727506F3" w14:textId="3A19C8C9" w:rsidR="005520C1" w:rsidRDefault="00561CF9" w:rsidP="001E063E">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project will be rolled out in two stages. </w:t>
            </w:r>
            <w:r w:rsidR="00C039E1" w:rsidRPr="00921944">
              <w:rPr>
                <w:sz w:val="18"/>
                <w:szCs w:val="18"/>
                <w:lang w:val="en-US"/>
              </w:rPr>
              <w:t>The demonstrator phase of this project, due to come online in 2022, integrates a 75 MW electrolysis plant with a 120 t day</w:t>
            </w:r>
            <w:r w:rsidR="00C039E1" w:rsidRPr="00921944">
              <w:rPr>
                <w:sz w:val="18"/>
                <w:szCs w:val="18"/>
                <w:vertAlign w:val="superscript"/>
                <w:lang w:val="en-US"/>
              </w:rPr>
              <w:t>-1</w:t>
            </w:r>
            <w:r w:rsidR="00C039E1" w:rsidRPr="00921944">
              <w:rPr>
                <w:sz w:val="18"/>
                <w:szCs w:val="18"/>
                <w:lang w:val="en-US"/>
              </w:rPr>
              <w:t xml:space="preserve"> ammonia production facility.</w:t>
            </w:r>
            <w:r w:rsidR="00C039E1" w:rsidRPr="00921944">
              <w:rPr>
                <w:sz w:val="18"/>
                <w:szCs w:val="18"/>
                <w:lang w:val="en-US"/>
              </w:rPr>
              <w:fldChar w:fldCharType="begin" w:fldLock="1"/>
            </w:r>
            <w:r w:rsidR="00D21B34">
              <w:rPr>
                <w:sz w:val="18"/>
                <w:szCs w:val="18"/>
                <w:lang w:val="en-US"/>
              </w:rPr>
              <w:instrText>ADDIN CSL_CITATION {"citationItems":[{"id":"ITEM-1","itemData":{"URL":"http://www.renewablessa.sa.gov.au/topic/hydrogen/hydrogen-projects-south-australia/hydrogen-green-ammonia-production-facility","accessed":{"date-parts":[["2021","2","11"]]},"id":"ITEM-1","issued":{"date-parts":[["0"]]},"title":"The Eyre Peninsula Gateway Project - Renewables SA","type":"webpage"},"uris":["http://www.mendeley.com/documents/?uuid=3c3ff210-938d-30c0-82dc-9b5355a73e14","http://www.mendeley.com/documents/?uuid=db912265-d655-45fd-b8d7-b00a63403787"]}],"mendeley":{"formattedCitation":"&lt;sup&gt;58&lt;/sup&gt;","plainTextFormattedCitation":"58","previouslyFormattedCitation":"&lt;sup&gt;58&lt;/sup&gt;"},"properties":{"noteIndex":0},"schema":"https://github.com/citation-style-language/schema/raw/master/csl-citation.json"}</w:instrText>
            </w:r>
            <w:r w:rsidR="00C039E1" w:rsidRPr="00921944">
              <w:rPr>
                <w:sz w:val="18"/>
                <w:szCs w:val="18"/>
                <w:lang w:val="en-US"/>
              </w:rPr>
              <w:fldChar w:fldCharType="separate"/>
            </w:r>
            <w:r w:rsidR="00C3381F" w:rsidRPr="00C3381F">
              <w:rPr>
                <w:noProof/>
                <w:sz w:val="18"/>
                <w:szCs w:val="18"/>
                <w:vertAlign w:val="superscript"/>
                <w:lang w:val="en-US"/>
              </w:rPr>
              <w:t>58</w:t>
            </w:r>
            <w:r w:rsidR="00C039E1" w:rsidRPr="00921944">
              <w:rPr>
                <w:sz w:val="18"/>
                <w:szCs w:val="18"/>
                <w:lang w:val="en-US"/>
              </w:rPr>
              <w:fldChar w:fldCharType="end"/>
            </w:r>
          </w:p>
          <w:p w14:paraId="1A8F3A54" w14:textId="0E9887ED" w:rsidR="00D465AA" w:rsidRDefault="00C039E1" w:rsidP="001E063E">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 </w:t>
            </w:r>
            <w:r w:rsidR="00EC5FD8">
              <w:rPr>
                <w:sz w:val="18"/>
                <w:szCs w:val="18"/>
                <w:lang w:val="en-US"/>
              </w:rPr>
              <w:t xml:space="preserve">The </w:t>
            </w:r>
            <w:r w:rsidR="002259AD">
              <w:rPr>
                <w:sz w:val="18"/>
                <w:szCs w:val="18"/>
                <w:lang w:val="en-US"/>
              </w:rPr>
              <w:t>demonstration plant</w:t>
            </w:r>
            <w:r w:rsidR="00EC5FD8">
              <w:rPr>
                <w:sz w:val="18"/>
                <w:szCs w:val="18"/>
                <w:lang w:val="en-US"/>
              </w:rPr>
              <w:t xml:space="preserve"> is expected to cost A$240 million</w:t>
            </w:r>
            <w:r w:rsidR="002259AD">
              <w:rPr>
                <w:sz w:val="18"/>
                <w:szCs w:val="18"/>
                <w:lang w:val="en-US"/>
              </w:rPr>
              <w:t xml:space="preserve"> </w:t>
            </w:r>
            <w:r w:rsidR="00220412">
              <w:rPr>
                <w:sz w:val="18"/>
                <w:szCs w:val="18"/>
                <w:lang w:val="en-US"/>
              </w:rPr>
              <w:t xml:space="preserve">(The SA government </w:t>
            </w:r>
            <w:r w:rsidR="005F042D">
              <w:rPr>
                <w:sz w:val="18"/>
                <w:szCs w:val="18"/>
                <w:lang w:val="en-US"/>
              </w:rPr>
              <w:t xml:space="preserve">has provided A$4.5 million in grants and A$7.5 million in loans to support </w:t>
            </w:r>
            <w:r w:rsidR="005F042D">
              <w:rPr>
                <w:sz w:val="18"/>
                <w:szCs w:val="18"/>
                <w:lang w:val="en-US"/>
              </w:rPr>
              <w:lastRenderedPageBreak/>
              <w:t>development).</w:t>
            </w:r>
            <w:r w:rsidR="005520C1">
              <w:rPr>
                <w:sz w:val="18"/>
                <w:szCs w:val="18"/>
                <w:lang w:val="en-US"/>
              </w:rPr>
              <w:t xml:space="preserve"> </w:t>
            </w:r>
            <w:r w:rsidR="005F042D">
              <w:rPr>
                <w:sz w:val="18"/>
                <w:szCs w:val="18"/>
                <w:lang w:val="en-US"/>
              </w:rPr>
              <w:t>The demonstration stage will be u</w:t>
            </w:r>
            <w:r w:rsidR="003D17B4">
              <w:rPr>
                <w:sz w:val="18"/>
                <w:szCs w:val="18"/>
                <w:lang w:val="en-US"/>
              </w:rPr>
              <w:t>sed to supply domestic markets and trail shipments of products to Asia.</w:t>
            </w:r>
            <w:r w:rsidR="00D465AA">
              <w:rPr>
                <w:sz w:val="18"/>
                <w:szCs w:val="18"/>
                <w:lang w:val="en-US"/>
              </w:rPr>
              <w:t xml:space="preserve"> </w:t>
            </w:r>
            <w:r w:rsidR="003D17B4">
              <w:rPr>
                <w:sz w:val="18"/>
                <w:szCs w:val="18"/>
                <w:lang w:val="en-US"/>
              </w:rPr>
              <w:t xml:space="preserve"> </w:t>
            </w:r>
          </w:p>
          <w:p w14:paraId="4DD68042" w14:textId="100C6322" w:rsidR="00C039E1" w:rsidRPr="00921944" w:rsidRDefault="00C039E1" w:rsidP="001E063E">
            <w:pPr>
              <w:pStyle w:val="ListParagraph"/>
              <w:spacing w:before="240" w:after="120"/>
              <w:ind w:left="0" w:right="153"/>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goal is to scale-up the project over time to 2,400 t day</w:t>
            </w:r>
            <w:r w:rsidRPr="00921944">
              <w:rPr>
                <w:sz w:val="18"/>
                <w:szCs w:val="18"/>
                <w:vertAlign w:val="superscript"/>
                <w:lang w:val="en-US"/>
              </w:rPr>
              <w:t>-1</w:t>
            </w:r>
            <w:r w:rsidRPr="00921944">
              <w:rPr>
                <w:sz w:val="18"/>
                <w:szCs w:val="18"/>
                <w:lang w:val="en-US"/>
              </w:rPr>
              <w:t xml:space="preserve"> for export capabilities</w:t>
            </w:r>
            <w:r w:rsidR="003D17B4">
              <w:rPr>
                <w:sz w:val="18"/>
                <w:szCs w:val="18"/>
                <w:lang w:val="en-US"/>
              </w:rPr>
              <w:t>.</w:t>
            </w:r>
            <w:r w:rsidRPr="00921944">
              <w:rPr>
                <w:sz w:val="18"/>
                <w:szCs w:val="18"/>
                <w:lang w:val="en-US"/>
              </w:rPr>
              <w:t>.</w:t>
            </w:r>
            <w:r w:rsidRPr="00921944">
              <w:rPr>
                <w:sz w:val="18"/>
                <w:szCs w:val="18"/>
                <w:lang w:val="en-US"/>
              </w:rPr>
              <w:fldChar w:fldCharType="begin" w:fldLock="1"/>
            </w:r>
            <w:r w:rsidR="00D21B34">
              <w:rPr>
                <w:sz w:val="18"/>
                <w:szCs w:val="18"/>
                <w:lang w:val="en-US"/>
              </w:rPr>
              <w:instrText>ADDIN CSL_CITATION {"citationItems":[{"id":"ITEM-1","itemData":{"URL":"http://www.renewablessa.sa.gov.au/topic/hydrogen/hydrogen-projects-south-australia/hydrogen-green-ammonia-production-facility","accessed":{"date-parts":[["2021","2","11"]]},"id":"ITEM-1","issued":{"date-parts":[["0"]]},"title":"The Eyre Peninsula Gateway Project - Renewables SA","type":"webpage"},"uris":["http://www.mendeley.com/documents/?uuid=db912265-d655-45fd-b8d7-b00a63403787","http://www.mendeley.com/documents/?uuid=3c3ff210-938d-30c0-82dc-9b5355a73e14"]}],"mendeley":{"formattedCitation":"&lt;sup&gt;58&lt;/sup&gt;","plainTextFormattedCitation":"58","previouslyFormattedCitation":"&lt;sup&gt;58&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58</w:t>
            </w:r>
            <w:r w:rsidRPr="00921944">
              <w:rPr>
                <w:sz w:val="18"/>
                <w:szCs w:val="18"/>
                <w:lang w:val="en-US"/>
              </w:rPr>
              <w:fldChar w:fldCharType="end"/>
            </w:r>
            <w:r w:rsidR="003D17B4">
              <w:rPr>
                <w:sz w:val="18"/>
                <w:szCs w:val="18"/>
                <w:lang w:val="en-US"/>
              </w:rPr>
              <w:t xml:space="preserve"> </w:t>
            </w:r>
            <w:r w:rsidR="005C56C1">
              <w:rPr>
                <w:sz w:val="18"/>
                <w:szCs w:val="18"/>
                <w:lang w:val="en-US"/>
              </w:rPr>
              <w:t>T</w:t>
            </w:r>
            <w:r w:rsidR="003D17B4">
              <w:rPr>
                <w:sz w:val="18"/>
                <w:szCs w:val="18"/>
                <w:lang w:val="en-US"/>
              </w:rPr>
              <w:t xml:space="preserve">he </w:t>
            </w:r>
            <w:r w:rsidR="005C56C1">
              <w:rPr>
                <w:sz w:val="18"/>
                <w:szCs w:val="18"/>
                <w:lang w:val="en-US"/>
              </w:rPr>
              <w:t xml:space="preserve">export activities are expected by the </w:t>
            </w:r>
            <w:r w:rsidR="003D17B4">
              <w:rPr>
                <w:sz w:val="18"/>
                <w:szCs w:val="18"/>
                <w:lang w:val="en-US"/>
              </w:rPr>
              <w:t xml:space="preserve">proponent </w:t>
            </w:r>
            <w:r w:rsidR="005C56C1">
              <w:rPr>
                <w:sz w:val="18"/>
                <w:szCs w:val="18"/>
                <w:lang w:val="en-US"/>
              </w:rPr>
              <w:t xml:space="preserve">to start post </w:t>
            </w:r>
            <w:r w:rsidR="00FD4439">
              <w:rPr>
                <w:sz w:val="18"/>
                <w:szCs w:val="18"/>
                <w:lang w:val="en-US"/>
              </w:rPr>
              <w:t>2025 (</w:t>
            </w:r>
            <w:r w:rsidR="005C56C1">
              <w:rPr>
                <w:sz w:val="18"/>
                <w:szCs w:val="18"/>
                <w:lang w:val="en-US"/>
              </w:rPr>
              <w:t xml:space="preserve">Source: Based on the information shared by the </w:t>
            </w:r>
            <w:r w:rsidR="00FD4439">
              <w:rPr>
                <w:sz w:val="18"/>
                <w:szCs w:val="18"/>
                <w:lang w:val="en-US"/>
              </w:rPr>
              <w:t>H2U</w:t>
            </w:r>
            <w:r w:rsidR="00FD4439" w:rsidRPr="00FD4439">
              <w:rPr>
                <w:sz w:val="18"/>
                <w:szCs w:val="18"/>
                <w:vertAlign w:val="superscript"/>
                <w:lang w:val="en-US"/>
              </w:rPr>
              <w:t>TM</w:t>
            </w:r>
            <w:r w:rsidR="00FD4439">
              <w:rPr>
                <w:sz w:val="18"/>
                <w:szCs w:val="18"/>
                <w:lang w:val="en-US"/>
              </w:rPr>
              <w:t xml:space="preserve"> at the Smart Energy Expo 2021)</w:t>
            </w:r>
            <w:r w:rsidR="003D17B4">
              <w:rPr>
                <w:sz w:val="18"/>
                <w:szCs w:val="18"/>
                <w:lang w:val="en-US"/>
              </w:rPr>
              <w:t>.</w:t>
            </w:r>
            <w:r w:rsidRPr="00921944">
              <w:rPr>
                <w:sz w:val="18"/>
                <w:szCs w:val="18"/>
                <w:lang w:val="en-US"/>
              </w:rPr>
              <w:t xml:space="preserve"> </w:t>
            </w:r>
          </w:p>
        </w:tc>
        <w:tc>
          <w:tcPr>
            <w:tcW w:w="1620" w:type="dxa"/>
            <w:gridSpan w:val="2"/>
          </w:tcPr>
          <w:p w14:paraId="3903313A"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rPr>
              <w:lastRenderedPageBreak/>
              <w:t>Eyre Peninsula, SA.</w:t>
            </w:r>
          </w:p>
        </w:tc>
        <w:tc>
          <w:tcPr>
            <w:tcW w:w="2059" w:type="dxa"/>
            <w:gridSpan w:val="2"/>
          </w:tcPr>
          <w:p w14:paraId="2DAE69D8" w14:textId="77777777" w:rsidR="00C52D47" w:rsidRDefault="00C52D47"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75 MW electrolyser</w:t>
            </w:r>
            <w:r w:rsidR="005520C1">
              <w:rPr>
                <w:sz w:val="18"/>
                <w:szCs w:val="18"/>
                <w:lang w:val="en-US"/>
              </w:rPr>
              <w:t xml:space="preserve"> of H</w:t>
            </w:r>
            <w:r w:rsidR="005520C1" w:rsidRPr="005520C1">
              <w:rPr>
                <w:sz w:val="18"/>
                <w:szCs w:val="18"/>
                <w:vertAlign w:val="subscript"/>
                <w:lang w:val="en-US"/>
              </w:rPr>
              <w:t>2</w:t>
            </w:r>
            <w:r w:rsidR="005520C1">
              <w:rPr>
                <w:sz w:val="18"/>
                <w:szCs w:val="18"/>
                <w:vertAlign w:val="subscript"/>
                <w:lang w:val="en-US"/>
              </w:rPr>
              <w:t xml:space="preserve"> </w:t>
            </w:r>
            <w:r w:rsidR="005520C1">
              <w:rPr>
                <w:sz w:val="18"/>
                <w:szCs w:val="18"/>
                <w:lang w:val="en-US"/>
              </w:rPr>
              <w:t>generating</w:t>
            </w:r>
          </w:p>
          <w:p w14:paraId="281ABF15" w14:textId="77777777" w:rsidR="005520C1" w:rsidRDefault="005520C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4A846253" w14:textId="7E479038"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120</w:t>
            </w:r>
            <w:r w:rsidR="00D8799B">
              <w:rPr>
                <w:sz w:val="18"/>
                <w:szCs w:val="18"/>
                <w:lang w:val="en-US"/>
              </w:rPr>
              <w:t xml:space="preserve"> </w:t>
            </w:r>
            <w:proofErr w:type="spellStart"/>
            <w:r w:rsidRPr="00921944">
              <w:rPr>
                <w:sz w:val="18"/>
                <w:szCs w:val="18"/>
                <w:lang w:val="en-US"/>
              </w:rPr>
              <w:t>tpd</w:t>
            </w:r>
            <w:proofErr w:type="spellEnd"/>
            <w:r w:rsidRPr="00921944">
              <w:rPr>
                <w:sz w:val="18"/>
                <w:szCs w:val="18"/>
                <w:lang w:val="en-US"/>
              </w:rPr>
              <w:t xml:space="preserve"> of Ammonia</w:t>
            </w:r>
          </w:p>
        </w:tc>
        <w:tc>
          <w:tcPr>
            <w:tcW w:w="2064" w:type="dxa"/>
            <w:gridSpan w:val="2"/>
          </w:tcPr>
          <w:p w14:paraId="53BCE557" w14:textId="77777777" w:rsidR="00C039E1" w:rsidRPr="00921944" w:rsidRDefault="00C039E1" w:rsidP="00BA2C8B">
            <w:pPr>
              <w:pStyle w:val="ListParagraph"/>
              <w:tabs>
                <w:tab w:val="clear" w:pos="357"/>
                <w:tab w:val="left" w:pos="0"/>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w:t>
            </w:r>
          </w:p>
          <w:p w14:paraId="10B7169F" w14:textId="77777777" w:rsidR="00C039E1" w:rsidRPr="00921944" w:rsidRDefault="00C039E1" w:rsidP="00BA2C8B">
            <w:pPr>
              <w:pStyle w:val="ListParagraph"/>
              <w:tabs>
                <w:tab w:val="clear" w:pos="357"/>
                <w:tab w:val="left" w:pos="0"/>
              </w:tabs>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Facility</w:t>
            </w:r>
          </w:p>
        </w:tc>
        <w:tc>
          <w:tcPr>
            <w:tcW w:w="1388" w:type="dxa"/>
          </w:tcPr>
          <w:p w14:paraId="5AEB8756" w14:textId="71B3277E"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noProof/>
              </w:rPr>
              <w:drawing>
                <wp:inline distT="0" distB="0" distL="0" distR="0" wp14:anchorId="58BCF4BE" wp14:editId="334984E7">
                  <wp:extent cx="461882" cy="477078"/>
                  <wp:effectExtent l="0" t="0" r="0" b="0"/>
                  <wp:docPr id="132" name="Picture 1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74" w:type="dxa"/>
            <w:gridSpan w:val="2"/>
          </w:tcPr>
          <w:p w14:paraId="18B3C337" w14:textId="62060401"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noProof/>
              </w:rPr>
              <w:drawing>
                <wp:inline distT="0" distB="0" distL="0" distR="0" wp14:anchorId="52F09890" wp14:editId="1ED25D9A">
                  <wp:extent cx="463550" cy="475615"/>
                  <wp:effectExtent l="0" t="0" r="0" b="635"/>
                  <wp:docPr id="159" name="Picture 1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12">
                            <a:extLst>
                              <a:ext uri="{28A0092B-C50C-407E-A947-70E740481C1C}">
                                <a14:useLocalDpi xmlns:a14="http://schemas.microsoft.com/office/drawing/2010/main" val="0"/>
                              </a:ext>
                            </a:extLst>
                          </a:blip>
                          <a:stretch>
                            <a:fillRect/>
                          </a:stretch>
                        </pic:blipFill>
                        <pic:spPr>
                          <a:xfrm>
                            <a:off x="0" y="0"/>
                            <a:ext cx="463550" cy="475615"/>
                          </a:xfrm>
                          <a:prstGeom prst="rect">
                            <a:avLst/>
                          </a:prstGeom>
                        </pic:spPr>
                      </pic:pic>
                    </a:graphicData>
                  </a:graphic>
                </wp:inline>
              </w:drawing>
            </w:r>
          </w:p>
        </w:tc>
        <w:tc>
          <w:tcPr>
            <w:tcW w:w="2801" w:type="dxa"/>
          </w:tcPr>
          <w:p w14:paraId="4354C7B5" w14:textId="2A10A05A" w:rsidR="00C039E1" w:rsidRPr="00921944" w:rsidRDefault="00220412"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Demonstration Plant, is c</w:t>
            </w:r>
            <w:r w:rsidR="00C039E1" w:rsidRPr="00921944">
              <w:rPr>
                <w:sz w:val="18"/>
                <w:szCs w:val="18"/>
                <w:lang w:val="en-US"/>
              </w:rPr>
              <w:t>urrently in the Front-End Engineering and Design (FEED) stage</w:t>
            </w:r>
            <w:r w:rsidR="00740A40">
              <w:rPr>
                <w:sz w:val="18"/>
                <w:szCs w:val="18"/>
                <w:lang w:val="en-US"/>
              </w:rPr>
              <w:t xml:space="preserve"> (since March 2021)</w:t>
            </w:r>
            <w:r w:rsidR="00C039E1" w:rsidRPr="00921944">
              <w:rPr>
                <w:sz w:val="18"/>
                <w:szCs w:val="18"/>
                <w:lang w:val="en-US"/>
              </w:rPr>
              <w:t>.</w:t>
            </w:r>
          </w:p>
        </w:tc>
      </w:tr>
      <w:tr w:rsidR="00C039E1" w:rsidRPr="00921944" w14:paraId="76E46BDB" w14:textId="77777777" w:rsidTr="00F86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13"/>
            <w:shd w:val="clear" w:color="auto" w:fill="737373" w:themeFill="text2"/>
          </w:tcPr>
          <w:p w14:paraId="54EF2ED4" w14:textId="6270BBF1" w:rsidR="00C039E1" w:rsidRPr="00921944" w:rsidRDefault="00C039E1" w:rsidP="00BA2C8B">
            <w:pPr>
              <w:pStyle w:val="ListParagraph"/>
              <w:spacing w:before="120" w:after="120"/>
              <w:ind w:left="0"/>
              <w:contextualSpacing w:val="0"/>
              <w:rPr>
                <w:color w:val="FFFFFF" w:themeColor="background1"/>
                <w:sz w:val="18"/>
                <w:szCs w:val="18"/>
                <w:lang w:val="en-US"/>
              </w:rPr>
            </w:pPr>
            <w:r w:rsidRPr="00921944">
              <w:rPr>
                <w:color w:val="FFFFFF" w:themeColor="background1"/>
                <w:sz w:val="18"/>
                <w:szCs w:val="18"/>
                <w:lang w:val="en-US"/>
              </w:rPr>
              <w:t>Western Australia</w:t>
            </w:r>
          </w:p>
        </w:tc>
      </w:tr>
      <w:tr w:rsidR="009F3380" w:rsidRPr="00921944" w14:paraId="3F09F22B"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7932AD2B" w14:textId="27476CDB" w:rsidR="009F3380" w:rsidRPr="00921944" w:rsidRDefault="009F3380" w:rsidP="009F3380">
            <w:pPr>
              <w:pStyle w:val="ListParagraph"/>
              <w:tabs>
                <w:tab w:val="clear" w:pos="357"/>
                <w:tab w:val="left" w:pos="164"/>
              </w:tabs>
              <w:ind w:left="0"/>
              <w:contextualSpacing w:val="0"/>
              <w:rPr>
                <w:sz w:val="18"/>
                <w:szCs w:val="18"/>
                <w:lang w:val="en-US"/>
              </w:rPr>
            </w:pPr>
            <w:r>
              <w:rPr>
                <w:sz w:val="18"/>
                <w:szCs w:val="18"/>
                <w:lang w:val="en-US"/>
              </w:rPr>
              <w:t>26.</w:t>
            </w:r>
          </w:p>
        </w:tc>
        <w:tc>
          <w:tcPr>
            <w:tcW w:w="3115" w:type="dxa"/>
          </w:tcPr>
          <w:p w14:paraId="27800B4D"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color w:val="auto"/>
                <w:sz w:val="18"/>
                <w:szCs w:val="18"/>
                <w:lang w:val="en-US"/>
              </w:rPr>
            </w:pPr>
            <w:r>
              <w:rPr>
                <w:b/>
                <w:bCs/>
                <w:color w:val="auto"/>
                <w:sz w:val="18"/>
                <w:szCs w:val="18"/>
                <w:lang w:val="en-US"/>
              </w:rPr>
              <w:t>Western Green Energy Hub</w:t>
            </w:r>
          </w:p>
          <w:p w14:paraId="763E6030"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color w:val="auto"/>
                <w:sz w:val="18"/>
                <w:szCs w:val="18"/>
                <w:lang w:val="en-US"/>
              </w:rPr>
            </w:pPr>
          </w:p>
          <w:p w14:paraId="51FCFBC3" w14:textId="0FE3EF75"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Pr>
                <w:bCs/>
                <w:color w:val="auto"/>
                <w:sz w:val="18"/>
                <w:szCs w:val="18"/>
                <w:lang w:val="en-US"/>
              </w:rPr>
              <w:t>CWP and Intercontinental Energy, have also recently announced plans for a A$100 billion renewable hydrogen project in WA.</w:t>
            </w:r>
            <w:r>
              <w:rPr>
                <w:bCs/>
                <w:color w:val="auto"/>
                <w:sz w:val="18"/>
                <w:szCs w:val="18"/>
                <w:lang w:val="en-US"/>
              </w:rPr>
              <w:fldChar w:fldCharType="begin" w:fldLock="1"/>
            </w:r>
            <w:r w:rsidR="00D21B34">
              <w:rPr>
                <w:bCs/>
                <w:color w:val="auto"/>
                <w:sz w:val="18"/>
                <w:szCs w:val="18"/>
                <w:lang w:val="en-US"/>
              </w:rPr>
              <w:instrText>ADDIN CSL_CITATION {"citationItems":[{"id":"ITEM-1","itemData":{"URL":"https://intercontinentalenergy.com/western-green-energy-hub","accessed":{"date-parts":[["2021","7","24"]]},"author":[{"dropping-particle":"","family":"Intercontinental Energy","given":"","non-dropping-particle":"","parse-names":false,"suffix":""}],"id":"ITEM-1","issued":{"date-parts":[["0"]]},"title":"Western green energy hub ","type":"webpage"},"uris":["http://www.mendeley.com/documents/?uuid=ed10ea2a-e281-342a-8c0e-f8b78d276541"]}],"mendeley":{"formattedCitation":"&lt;sup&gt;59&lt;/sup&gt;","plainTextFormattedCitation":"59","previouslyFormattedCitation":"&lt;sup&gt;59&lt;/sup&gt;"},"properties":{"noteIndex":0},"schema":"https://github.com/citation-style-language/schema/raw/master/csl-citation.json"}</w:instrText>
            </w:r>
            <w:r>
              <w:rPr>
                <w:bCs/>
                <w:color w:val="auto"/>
                <w:sz w:val="18"/>
                <w:szCs w:val="18"/>
                <w:lang w:val="en-US"/>
              </w:rPr>
              <w:fldChar w:fldCharType="separate"/>
            </w:r>
            <w:r w:rsidR="00C3381F" w:rsidRPr="00C3381F">
              <w:rPr>
                <w:bCs/>
                <w:noProof/>
                <w:color w:val="auto"/>
                <w:sz w:val="18"/>
                <w:szCs w:val="18"/>
                <w:vertAlign w:val="superscript"/>
                <w:lang w:val="en-US"/>
              </w:rPr>
              <w:t>59</w:t>
            </w:r>
            <w:r>
              <w:rPr>
                <w:bCs/>
                <w:color w:val="auto"/>
                <w:sz w:val="18"/>
                <w:szCs w:val="18"/>
                <w:lang w:val="en-US"/>
              </w:rPr>
              <w:fldChar w:fldCharType="end"/>
            </w:r>
          </w:p>
          <w:p w14:paraId="71533816"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p>
          <w:p w14:paraId="209B9270" w14:textId="72836372"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Cs/>
                <w:color w:val="auto"/>
                <w:sz w:val="18"/>
                <w:szCs w:val="18"/>
                <w:lang w:val="en-US"/>
              </w:rPr>
            </w:pPr>
            <w:r>
              <w:rPr>
                <w:bCs/>
                <w:color w:val="auto"/>
                <w:sz w:val="18"/>
                <w:szCs w:val="18"/>
                <w:lang w:val="en-US"/>
              </w:rPr>
              <w:t>The project will host a 50GW solar and wind generation capacity to generate green hydrogen for export. The committed capacity is nearly equal to the current size of the Australian National Energy Market (54 GW), which would make it the largest renewable energy project in Australia and the word.</w:t>
            </w:r>
            <w:r>
              <w:rPr>
                <w:bCs/>
                <w:color w:val="auto"/>
                <w:sz w:val="18"/>
                <w:szCs w:val="18"/>
                <w:lang w:val="en-US"/>
              </w:rPr>
              <w:fldChar w:fldCharType="begin" w:fldLock="1"/>
            </w:r>
            <w:r w:rsidR="00D21B34">
              <w:rPr>
                <w:bCs/>
                <w:color w:val="auto"/>
                <w:sz w:val="18"/>
                <w:szCs w:val="18"/>
                <w:lang w:val="en-US"/>
              </w:rPr>
              <w:instrText>ADDIN CSL_CITATION {"citationItems":[{"id":"ITEM-1","itemData":{"URL":"https://www.abc.net.au/news/2021-07-13/green-energy-hub-planned-for-south-coast-of-wa/100288734?utm_campaign=news-article-share-control&amp;utm_content=linked-in&amp;utm_medium=content_shared&amp;utm_source=abc_news_web","accessed":{"date-parts":[["2021","7","24"]]},"author":[{"dropping-particle":"","family":"Goowdwin","given":"S.T.","non-dropping-particle":"","parse-names":false,"suffix":""},{"dropping-particle":"","family":"Dias","given":"Dinushi","non-dropping-particle":"","parse-names":false,"suffix":""}],"container-title":"ABC","id":"ITEM-1","issued":{"date-parts":[["2021","7","13"]]},"title":"World's biggest green energy hub proposed for south coast of Western Australia ","type":"webpage"},"uris":["http://www.mendeley.com/documents/?uuid=9bd292fd-69db-3511-99f5-d7853dfce60a"]},{"id":"ITEM-2","itemData":{"URL":"https://reneweconomy.com.au/worlds-biggest-renewable-energy-hub-planned-for-south-west-australia/","accessed":{"date-parts":[["2021","7","24"]]},"author":[{"dropping-particle":"","family":"Parkinson","given":"Giles","non-dropping-particle":"","parse-names":false,"suffix":""}],"container-title":"RenewEconomy","id":"ITEM-2","issued":{"date-parts":[["2021","7","13"]]},"title":"World's biggest wind and solar hydrogen hub planned for south-west Australia ","type":"webpage"},"uris":["http://www.mendeley.com/documents/?uuid=c09c2629-85b3-360d-bda6-8941422a403b"]},{"id":"ITEM-3","itemData":{"URL":"https://www.theguardian.com/environment/2021/jul/13/plan-to-build-worlds-biggest-renewable-energy-hub-in-western-australia","accessed":{"date-parts":[["2021","7","24"]]},"author":[{"dropping-particle":"","family":"Readfearn","given":"Graham","non-dropping-particle":"","parse-names":false,"suffix":""}],"container-title":"The Guardian","id":"ITEM-3","issued":{"date-parts":[["2021","7","13"]]},"title":"Plan to build world’s biggest renewable energy hub in Western Australia ","type":"webpage"},"uris":["http://www.mendeley.com/documents/?uuid=6f97a23a-153e-38b1-bab7-d163abd88113"]}],"mendeley":{"formattedCitation":"&lt;sup&gt;60–62&lt;/sup&gt;","plainTextFormattedCitation":"60–62","previouslyFormattedCitation":"&lt;sup&gt;60–62&lt;/sup&gt;"},"properties":{"noteIndex":0},"schema":"https://github.com/citation-style-language/schema/raw/master/csl-citation.json"}</w:instrText>
            </w:r>
            <w:r>
              <w:rPr>
                <w:bCs/>
                <w:color w:val="auto"/>
                <w:sz w:val="18"/>
                <w:szCs w:val="18"/>
                <w:lang w:val="en-US"/>
              </w:rPr>
              <w:fldChar w:fldCharType="separate"/>
            </w:r>
            <w:r w:rsidR="00C3381F" w:rsidRPr="00C3381F">
              <w:rPr>
                <w:bCs/>
                <w:noProof/>
                <w:color w:val="auto"/>
                <w:sz w:val="18"/>
                <w:szCs w:val="18"/>
                <w:vertAlign w:val="superscript"/>
                <w:lang w:val="en-US"/>
              </w:rPr>
              <w:t>60–62</w:t>
            </w:r>
            <w:r>
              <w:rPr>
                <w:bCs/>
                <w:color w:val="auto"/>
                <w:sz w:val="18"/>
                <w:szCs w:val="18"/>
                <w:lang w:val="en-US"/>
              </w:rPr>
              <w:fldChar w:fldCharType="end"/>
            </w:r>
          </w:p>
          <w:p w14:paraId="282A408F" w14:textId="0935BD03" w:rsidR="009F3380" w:rsidRPr="00921944" w:rsidRDefault="009F3380" w:rsidP="0082149E">
            <w:pPr>
              <w:pStyle w:val="ListParagraph"/>
              <w:spacing w:after="120"/>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rPr>
            </w:pPr>
            <w:r>
              <w:rPr>
                <w:bCs/>
                <w:color w:val="auto"/>
                <w:sz w:val="18"/>
                <w:szCs w:val="18"/>
                <w:lang w:val="en-US"/>
              </w:rPr>
              <w:t>The project is expected to be developed in three phases with initial production by 2030.</w:t>
            </w:r>
            <w:r>
              <w:rPr>
                <w:bCs/>
                <w:color w:val="auto"/>
                <w:sz w:val="18"/>
                <w:szCs w:val="18"/>
                <w:lang w:val="en-US"/>
              </w:rPr>
              <w:fldChar w:fldCharType="begin" w:fldLock="1"/>
            </w:r>
            <w:r w:rsidR="00D21B34">
              <w:rPr>
                <w:bCs/>
                <w:color w:val="auto"/>
                <w:sz w:val="18"/>
                <w:szCs w:val="18"/>
                <w:lang w:val="en-US"/>
              </w:rPr>
              <w:instrText>ADDIN CSL_CITATION {"citationItems":[{"id":"ITEM-1","itemData":{"URL":"https://www.abc.net.au/news/2021-07-13/green-energy-hub-planned-for-south-coast-of-wa/100288734?utm_campaign=news-article-share-control&amp;utm_content=linked-in&amp;utm_medium=content_shared&amp;utm_source=abc_news_web","accessed":{"date-parts":[["2021","7","24"]]},"author":[{"dropping-particle":"","family":"Goowdwin","given":"S.T.","non-dropping-particle":"","parse-names":false,"suffix":""},{"dropping-particle":"","family":"Dias","given":"Dinushi","non-dropping-particle":"","parse-names":false,"suffix":""}],"container-title":"ABC","id":"ITEM-1","issued":{"date-parts":[["2021","7","13"]]},"title":"World's biggest green energy hub proposed for south coast of Western Australia ","type":"webpage"},"uris":["http://www.mendeley.com/documents/?uuid=9bd292fd-69db-3511-99f5-d7853dfce60a"]}],"mendeley":{"formattedCitation":"&lt;sup&gt;60&lt;/sup&gt;","plainTextFormattedCitation":"60","previouslyFormattedCitation":"&lt;sup&gt;60&lt;/sup&gt;"},"properties":{"noteIndex":0},"schema":"https://github.com/citation-style-language/schema/raw/master/csl-citation.json"}</w:instrText>
            </w:r>
            <w:r>
              <w:rPr>
                <w:bCs/>
                <w:color w:val="auto"/>
                <w:sz w:val="18"/>
                <w:szCs w:val="18"/>
                <w:lang w:val="en-US"/>
              </w:rPr>
              <w:fldChar w:fldCharType="separate"/>
            </w:r>
            <w:r w:rsidR="00C3381F" w:rsidRPr="00C3381F">
              <w:rPr>
                <w:bCs/>
                <w:noProof/>
                <w:color w:val="auto"/>
                <w:sz w:val="18"/>
                <w:szCs w:val="18"/>
                <w:vertAlign w:val="superscript"/>
                <w:lang w:val="en-US"/>
              </w:rPr>
              <w:t>60</w:t>
            </w:r>
            <w:r>
              <w:rPr>
                <w:bCs/>
                <w:color w:val="auto"/>
                <w:sz w:val="18"/>
                <w:szCs w:val="18"/>
                <w:lang w:val="en-US"/>
              </w:rPr>
              <w:fldChar w:fldCharType="end"/>
            </w:r>
            <w:r>
              <w:rPr>
                <w:bCs/>
                <w:color w:val="auto"/>
                <w:sz w:val="18"/>
                <w:szCs w:val="18"/>
                <w:lang w:val="en-US"/>
              </w:rPr>
              <w:t xml:space="preserve"> </w:t>
            </w:r>
          </w:p>
        </w:tc>
        <w:tc>
          <w:tcPr>
            <w:tcW w:w="1620" w:type="dxa"/>
            <w:gridSpan w:val="2"/>
          </w:tcPr>
          <w:p w14:paraId="3C6519C9"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Dundas Shire/City of Kalgoorlie-Boulder,</w:t>
            </w:r>
          </w:p>
          <w:p w14:paraId="77FB8430" w14:textId="0D9B144E"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Pr>
                <w:color w:val="auto"/>
                <w:sz w:val="18"/>
                <w:szCs w:val="18"/>
                <w:lang w:val="en-US"/>
              </w:rPr>
              <w:t>WA</w:t>
            </w:r>
          </w:p>
        </w:tc>
        <w:tc>
          <w:tcPr>
            <w:tcW w:w="2059" w:type="dxa"/>
            <w:gridSpan w:val="2"/>
          </w:tcPr>
          <w:p w14:paraId="1166B77A" w14:textId="77777777" w:rsidR="009F3380" w:rsidRDefault="009F3380" w:rsidP="009F3380">
            <w:pPr>
              <w:pStyle w:val="ListParagraph"/>
              <w:numPr>
                <w:ilvl w:val="0"/>
                <w:numId w:val="43"/>
              </w:numPr>
              <w:tabs>
                <w:tab w:val="clear" w:pos="357"/>
              </w:tabs>
              <w:ind w:left="401"/>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50 GW renewable capacity (30 GW wind and 20 GW solar)</w:t>
            </w:r>
          </w:p>
          <w:p w14:paraId="2C996D35" w14:textId="77777777" w:rsidR="009F3380" w:rsidRDefault="009F3380" w:rsidP="009F3380">
            <w:pPr>
              <w:pStyle w:val="ListParagraph"/>
              <w:tabs>
                <w:tab w:val="clear" w:pos="357"/>
              </w:tabs>
              <w:ind w:left="401"/>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p w14:paraId="14FF5256" w14:textId="77777777" w:rsidR="009F3380" w:rsidRPr="00256BDE" w:rsidRDefault="009F3380" w:rsidP="009F3380">
            <w:pPr>
              <w:pStyle w:val="ListParagraph"/>
              <w:numPr>
                <w:ilvl w:val="0"/>
                <w:numId w:val="43"/>
              </w:numPr>
              <w:tabs>
                <w:tab w:val="clear" w:pos="357"/>
              </w:tabs>
              <w:ind w:left="401"/>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3.5 Mtpa of green H</w:t>
            </w:r>
            <w:r w:rsidRPr="00256BDE">
              <w:rPr>
                <w:color w:val="auto"/>
                <w:sz w:val="18"/>
                <w:szCs w:val="18"/>
                <w:vertAlign w:val="subscript"/>
                <w:lang w:val="en-US"/>
              </w:rPr>
              <w:t>2</w:t>
            </w:r>
          </w:p>
          <w:p w14:paraId="22067D0B" w14:textId="77777777" w:rsidR="009F3380" w:rsidRDefault="009F3380" w:rsidP="009F3380">
            <w:pPr>
              <w:pStyle w:val="ListParagraph"/>
              <w:tabs>
                <w:tab w:val="clear" w:pos="357"/>
              </w:tabs>
              <w:ind w:left="401"/>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p w14:paraId="6DF7D3A1" w14:textId="77777777" w:rsidR="009F3380" w:rsidRDefault="009F3380" w:rsidP="009F3380">
            <w:pPr>
              <w:pStyle w:val="ListParagraph"/>
              <w:numPr>
                <w:ilvl w:val="0"/>
                <w:numId w:val="43"/>
              </w:numPr>
              <w:tabs>
                <w:tab w:val="clear" w:pos="357"/>
              </w:tabs>
              <w:ind w:left="401"/>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20 Mtpa of green ammonia</w:t>
            </w:r>
          </w:p>
          <w:p w14:paraId="577EB003" w14:textId="77777777" w:rsidR="009F3380" w:rsidRPr="00256BDE" w:rsidRDefault="009F3380" w:rsidP="009F3380">
            <w:pPr>
              <w:ind w:left="41"/>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p w14:paraId="070B2844"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gridSpan w:val="2"/>
          </w:tcPr>
          <w:p w14:paraId="32334BEA"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Feasibility Stage</w:t>
            </w:r>
          </w:p>
          <w:p w14:paraId="521471DF" w14:textId="74F42E44"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color w:val="auto"/>
                <w:sz w:val="18"/>
                <w:szCs w:val="18"/>
                <w:lang w:val="en-US"/>
              </w:rPr>
              <w:t>(Commercial Scale hydrogen export hub)</w:t>
            </w:r>
          </w:p>
        </w:tc>
        <w:tc>
          <w:tcPr>
            <w:tcW w:w="1426" w:type="dxa"/>
            <w:gridSpan w:val="2"/>
          </w:tcPr>
          <w:p w14:paraId="7561688D" w14:textId="77777777" w:rsidR="009F3380"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rPr>
            </w:pPr>
          </w:p>
        </w:tc>
        <w:tc>
          <w:tcPr>
            <w:tcW w:w="1302" w:type="dxa"/>
          </w:tcPr>
          <w:p w14:paraId="34F4E2AF" w14:textId="569FD3DF"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4C9004E0" wp14:editId="4C17F0AC">
                  <wp:extent cx="461882" cy="477078"/>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tcPr>
          <w:p w14:paraId="4D78D485"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Early stages of development</w:t>
            </w:r>
          </w:p>
          <w:p w14:paraId="2F7DCA95"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p>
          <w:p w14:paraId="07D18EEC"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 xml:space="preserve">The Final Investment Decision is </w:t>
            </w:r>
            <w:r>
              <w:rPr>
                <w:color w:val="auto"/>
                <w:sz w:val="18"/>
                <w:szCs w:val="18"/>
                <w:lang w:val="en-US"/>
              </w:rPr>
              <w:t>targeted by 2028.</w:t>
            </w:r>
          </w:p>
          <w:p w14:paraId="31A917FC"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9F3380" w:rsidRPr="00921944" w14:paraId="3BEF6F41"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340A9F87" w14:textId="68655DEE" w:rsidR="009F3380" w:rsidRPr="00921944" w:rsidRDefault="009F3380" w:rsidP="009F3380">
            <w:pPr>
              <w:pStyle w:val="ListParagraph"/>
              <w:tabs>
                <w:tab w:val="clear" w:pos="357"/>
                <w:tab w:val="left" w:pos="164"/>
              </w:tabs>
              <w:ind w:left="0"/>
              <w:contextualSpacing w:val="0"/>
              <w:rPr>
                <w:sz w:val="18"/>
                <w:szCs w:val="18"/>
                <w:lang w:val="en-US"/>
              </w:rPr>
            </w:pPr>
            <w:r w:rsidRPr="00921944">
              <w:rPr>
                <w:sz w:val="18"/>
                <w:szCs w:val="18"/>
                <w:lang w:val="en-US"/>
              </w:rPr>
              <w:t>2</w:t>
            </w:r>
            <w:r>
              <w:rPr>
                <w:sz w:val="18"/>
                <w:szCs w:val="18"/>
                <w:lang w:val="en-US"/>
              </w:rPr>
              <w:t>7</w:t>
            </w:r>
            <w:r w:rsidRPr="00921944">
              <w:rPr>
                <w:sz w:val="18"/>
                <w:szCs w:val="18"/>
                <w:lang w:val="en-US"/>
              </w:rPr>
              <w:t>.</w:t>
            </w:r>
          </w:p>
        </w:tc>
        <w:tc>
          <w:tcPr>
            <w:tcW w:w="3115" w:type="dxa"/>
            <w:shd w:val="clear" w:color="auto" w:fill="FFFFFF" w:themeFill="background1"/>
          </w:tcPr>
          <w:p w14:paraId="1696D856"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rPr>
            </w:pPr>
            <w:r w:rsidRPr="00921944">
              <w:rPr>
                <w:b/>
                <w:bCs/>
                <w:sz w:val="18"/>
                <w:szCs w:val="18"/>
              </w:rPr>
              <w:t>ATCO Renewable Methane Project</w:t>
            </w:r>
          </w:p>
          <w:p w14:paraId="4B245864" w14:textId="77777777" w:rsidR="009F3380" w:rsidRDefault="009F3380" w:rsidP="009F338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 xml:space="preserve">ATCO is developing a demonstration plant for generating renewable methane for injection into the Albany gas network. </w:t>
            </w:r>
          </w:p>
          <w:p w14:paraId="33F60A00" w14:textId="23C8C32B" w:rsidR="009F3380" w:rsidRPr="00921944" w:rsidRDefault="009F3380" w:rsidP="009F338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lastRenderedPageBreak/>
              <w:t>The WA state government has provided in $20k in funding to conduct a feasibility study.</w:t>
            </w:r>
            <w:r w:rsidRPr="00921944">
              <w:rPr>
                <w:sz w:val="18"/>
                <w:szCs w:val="18"/>
              </w:rPr>
              <w:fldChar w:fldCharType="begin" w:fldLock="1"/>
            </w:r>
            <w:r w:rsidR="00D21B34">
              <w:rPr>
                <w:sz w:val="18"/>
                <w:szCs w:val="18"/>
              </w:rPr>
              <w:instrText>ADDIN CSL_CITATION {"citationItems":[{"id":"ITEM-1","itemData":{"URL":"https://www.atco.com/en-au/about-us/stories/atco-renewable-natural-gas-albany.html","author":[{"dropping-particle":"","family":"ATCO","given":"","non-dropping-particle":"","parse-names":false,"suffix":""}],"id":"ITEM-1","issued":{"date-parts":[["2020"]]},"title":"ATCO investigates renewable natural gas in Albany, Western Australia","type":"webpage"},"uris":["http://www.mendeley.com/documents/?uuid=d4da4c93-4a04-4dce-bbbc-efb9d51097da"]}],"mendeley":{"formattedCitation":"&lt;sup&gt;63&lt;/sup&gt;","plainTextFormattedCitation":"63","previouslyFormattedCitation":"&lt;sup&gt;63&lt;/sup&gt;"},"properties":{"noteIndex":0},"schema":"https://github.com/citation-style-language/schema/raw/master/csl-citation.json"}</w:instrText>
            </w:r>
            <w:r w:rsidRPr="00921944">
              <w:rPr>
                <w:sz w:val="18"/>
                <w:szCs w:val="18"/>
              </w:rPr>
              <w:fldChar w:fldCharType="separate"/>
            </w:r>
            <w:r w:rsidR="00C3381F" w:rsidRPr="00C3381F">
              <w:rPr>
                <w:noProof/>
                <w:sz w:val="18"/>
                <w:szCs w:val="18"/>
                <w:vertAlign w:val="superscript"/>
              </w:rPr>
              <w:t>63</w:t>
            </w:r>
            <w:r w:rsidRPr="00921944">
              <w:rPr>
                <w:sz w:val="18"/>
                <w:szCs w:val="18"/>
              </w:rPr>
              <w:fldChar w:fldCharType="end"/>
            </w:r>
          </w:p>
        </w:tc>
        <w:tc>
          <w:tcPr>
            <w:tcW w:w="1620" w:type="dxa"/>
            <w:gridSpan w:val="2"/>
            <w:shd w:val="clear" w:color="auto" w:fill="FFFFFF" w:themeFill="background1"/>
          </w:tcPr>
          <w:p w14:paraId="00EA62AB"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lastRenderedPageBreak/>
              <w:t xml:space="preserve">Albany, </w:t>
            </w:r>
          </w:p>
          <w:p w14:paraId="3AD7E43B"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WA</w:t>
            </w:r>
          </w:p>
        </w:tc>
        <w:tc>
          <w:tcPr>
            <w:tcW w:w="2059" w:type="dxa"/>
            <w:gridSpan w:val="2"/>
            <w:shd w:val="clear" w:color="auto" w:fill="FFFFFF" w:themeFill="background1"/>
          </w:tcPr>
          <w:p w14:paraId="075B886D" w14:textId="380DD9B6"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N.A.</w:t>
            </w:r>
          </w:p>
        </w:tc>
        <w:tc>
          <w:tcPr>
            <w:tcW w:w="2064" w:type="dxa"/>
            <w:gridSpan w:val="2"/>
            <w:shd w:val="clear" w:color="auto" w:fill="FFFFFF" w:themeFill="background1"/>
          </w:tcPr>
          <w:p w14:paraId="5D8D6622"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Feasibility Study</w:t>
            </w:r>
          </w:p>
          <w:p w14:paraId="14940A75"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(Demonstration Facility)</w:t>
            </w:r>
          </w:p>
        </w:tc>
        <w:tc>
          <w:tcPr>
            <w:tcW w:w="1426" w:type="dxa"/>
            <w:gridSpan w:val="2"/>
            <w:shd w:val="clear" w:color="auto" w:fill="FFFFFF" w:themeFill="background1"/>
          </w:tcPr>
          <w:p w14:paraId="0E61F7C2" w14:textId="48FD93AD"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38DD054A" wp14:editId="7F2A55F6">
                  <wp:extent cx="461882" cy="477078"/>
                  <wp:effectExtent l="0" t="0" r="0" b="0"/>
                  <wp:docPr id="123" name="Picture 1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shd w:val="clear" w:color="auto" w:fill="FFFFFF" w:themeFill="background1"/>
          </w:tcPr>
          <w:p w14:paraId="5F6A8B5E" w14:textId="77777777"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p>
        </w:tc>
        <w:tc>
          <w:tcPr>
            <w:tcW w:w="2873" w:type="dxa"/>
            <w:gridSpan w:val="2"/>
            <w:shd w:val="clear" w:color="auto" w:fill="FFFFFF" w:themeFill="background1"/>
          </w:tcPr>
          <w:p w14:paraId="15717057" w14:textId="33AD6E43"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Early stage of development</w:t>
            </w:r>
            <w:r>
              <w:rPr>
                <w:sz w:val="18"/>
                <w:szCs w:val="18"/>
                <w:lang w:val="en-US"/>
              </w:rPr>
              <w:t>.</w:t>
            </w:r>
          </w:p>
        </w:tc>
      </w:tr>
      <w:tr w:rsidR="009F3380" w:rsidRPr="00921944" w14:paraId="032F71AE"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6B8BEC8C" w14:textId="6DBAF145" w:rsidR="009F3380" w:rsidRPr="00921944" w:rsidRDefault="009F3380" w:rsidP="009F3380">
            <w:pPr>
              <w:pStyle w:val="ListParagraph"/>
              <w:ind w:left="0"/>
              <w:contextualSpacing w:val="0"/>
              <w:rPr>
                <w:sz w:val="18"/>
                <w:szCs w:val="18"/>
                <w:lang w:val="en-US"/>
              </w:rPr>
            </w:pPr>
            <w:r w:rsidRPr="00921944">
              <w:rPr>
                <w:sz w:val="18"/>
                <w:szCs w:val="18"/>
                <w:lang w:val="en-US"/>
              </w:rPr>
              <w:t>2</w:t>
            </w:r>
            <w:r w:rsidR="00812878">
              <w:rPr>
                <w:sz w:val="18"/>
                <w:szCs w:val="18"/>
                <w:lang w:val="en-US"/>
              </w:rPr>
              <w:t>8</w:t>
            </w:r>
            <w:r w:rsidRPr="00921944">
              <w:rPr>
                <w:sz w:val="18"/>
                <w:szCs w:val="18"/>
                <w:lang w:val="en-US"/>
              </w:rPr>
              <w:t>.</w:t>
            </w:r>
          </w:p>
        </w:tc>
        <w:tc>
          <w:tcPr>
            <w:tcW w:w="3115" w:type="dxa"/>
          </w:tcPr>
          <w:p w14:paraId="71FEB230"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Hazer Commercial Demonstration Plant</w:t>
            </w:r>
          </w:p>
          <w:p w14:paraId="07E98B5C" w14:textId="27674F02" w:rsidR="009F3380" w:rsidRDefault="009F3380" w:rsidP="009F3380">
            <w:pPr>
              <w:spacing w:before="240" w:after="120"/>
              <w:ind w:right="119"/>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Hazer Commercial Demonstration Plant is planned to demonstrate Hazer’s proprietary hydrogen production technology, which converts biogas from sewage treatment into hydrogen and graphite.</w:t>
            </w:r>
            <w:r w:rsidRPr="00921944">
              <w:rPr>
                <w:sz w:val="18"/>
                <w:szCs w:val="18"/>
                <w:lang w:val="en-US"/>
              </w:rPr>
              <w:fldChar w:fldCharType="begin" w:fldLock="1"/>
            </w:r>
            <w:r w:rsidR="00D21B34">
              <w:rPr>
                <w:sz w:val="18"/>
                <w:szCs w:val="18"/>
                <w:lang w:val="en-US"/>
              </w:rPr>
              <w:instrText>ADDIN CSL_CITATION {"citationItems":[{"id":"ITEM-1","itemData":{"URL":"https://arena.gov.au/projects/the-hazer-process-commercial-demonstration-plant/","author":[{"dropping-particle":"","family":"Australian Renewable Energy Agency","given":"","non-dropping-particle":"","parse-names":false,"suffix":""}],"id":"ITEM-1","issued":{"date-parts":[["2020"]]},"title":"The Hazer Process: Commercial Demonstration Plant","type":"webpage"},"uris":["http://www.mendeley.com/documents/?uuid=7431c815-08c9-3135-b010-a9e55f73590c","http://www.mendeley.com/documents/?uuid=a0addf62-7888-4d00-beac-1a874ac1e693","http://www.mendeley.com/documents/?uuid=4224f599-038f-4492-ab56-12f9f535f80b"]}],"mendeley":{"formattedCitation":"&lt;sup&gt;64&lt;/sup&gt;","plainTextFormattedCitation":"64","previouslyFormattedCitation":"&lt;sup&gt;64&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64</w:t>
            </w:r>
            <w:r w:rsidRPr="00921944">
              <w:rPr>
                <w:sz w:val="18"/>
                <w:szCs w:val="18"/>
                <w:lang w:val="en-US"/>
              </w:rPr>
              <w:fldChar w:fldCharType="end"/>
            </w:r>
            <w:r w:rsidRPr="00921944">
              <w:rPr>
                <w:sz w:val="18"/>
                <w:szCs w:val="18"/>
                <w:lang w:val="en-US"/>
              </w:rPr>
              <w:t xml:space="preserve"> </w:t>
            </w:r>
          </w:p>
          <w:p w14:paraId="5306DB0A" w14:textId="489E246C" w:rsidR="009F3380" w:rsidRPr="00921944" w:rsidRDefault="009F3380" w:rsidP="009F3380">
            <w:pPr>
              <w:spacing w:before="240" w:after="120"/>
              <w:ind w:right="119"/>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plant is expected to cost $</w:t>
            </w:r>
            <w:r>
              <w:rPr>
                <w:sz w:val="18"/>
                <w:szCs w:val="18"/>
                <w:lang w:val="en-US"/>
              </w:rPr>
              <w:t xml:space="preserve">20 -22 </w:t>
            </w:r>
            <w:r w:rsidRPr="00921944">
              <w:rPr>
                <w:sz w:val="18"/>
                <w:szCs w:val="18"/>
                <w:lang w:val="en-US"/>
              </w:rPr>
              <w:t>million to build and ARENA has approved up to $9.4 million in funding for construction and operation.</w:t>
            </w:r>
            <w:r w:rsidRPr="00921944">
              <w:rPr>
                <w:sz w:val="18"/>
                <w:szCs w:val="18"/>
                <w:lang w:val="en-US"/>
              </w:rPr>
              <w:fldChar w:fldCharType="begin" w:fldLock="1"/>
            </w:r>
            <w:r w:rsidR="00D21B34">
              <w:rPr>
                <w:sz w:val="18"/>
                <w:szCs w:val="18"/>
                <w:lang w:val="en-US"/>
              </w:rPr>
              <w:instrText>ADDIN CSL_CITATION {"citationItems":[{"id":"ITEM-1","itemData":{"URL":"https://research.csiro.au/hyresource/hazer-commercial-demonstration-plant/","accessed":{"date-parts":[["2021","4","20"]]},"author":[{"dropping-particle":"","family":"CSIRO","given":"","non-dropping-particle":"","parse-names":false,"suffix":""}],"container-title":"HyResource","id":"ITEM-1","issued":{"date-parts":[["2020","9","23"]]},"title":"Hazer Commercial Demonstration Plant ","type":"webpage"},"uris":["http://www.mendeley.com/documents/?uuid=cd74f202-13a4-31fc-a49f-b9ac8f5d428a"]}],"mendeley":{"formattedCitation":"&lt;sup&gt;65&lt;/sup&gt;","plainTextFormattedCitation":"65","previouslyFormattedCitation":"&lt;sup&gt;65&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65</w:t>
            </w:r>
            <w:r w:rsidRPr="00921944">
              <w:rPr>
                <w:sz w:val="18"/>
                <w:szCs w:val="18"/>
                <w:lang w:val="en-US"/>
              </w:rPr>
              <w:fldChar w:fldCharType="end"/>
            </w:r>
          </w:p>
        </w:tc>
        <w:tc>
          <w:tcPr>
            <w:tcW w:w="1620" w:type="dxa"/>
            <w:gridSpan w:val="2"/>
          </w:tcPr>
          <w:p w14:paraId="490DF55C"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 xml:space="preserve">Perth, </w:t>
            </w:r>
          </w:p>
          <w:p w14:paraId="378AA563"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WA</w:t>
            </w:r>
          </w:p>
          <w:p w14:paraId="5CF78E12"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p>
        </w:tc>
        <w:tc>
          <w:tcPr>
            <w:tcW w:w="2059" w:type="dxa"/>
            <w:gridSpan w:val="2"/>
          </w:tcPr>
          <w:p w14:paraId="201230D7" w14:textId="591445D2"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100 </w:t>
            </w:r>
            <w:proofErr w:type="spellStart"/>
            <w:r w:rsidRPr="00921944">
              <w:rPr>
                <w:sz w:val="18"/>
                <w:szCs w:val="18"/>
                <w:lang w:val="en-US"/>
              </w:rPr>
              <w:t>tpa</w:t>
            </w:r>
            <w:proofErr w:type="spellEnd"/>
            <w:r>
              <w:rPr>
                <w:sz w:val="18"/>
                <w:szCs w:val="18"/>
                <w:lang w:val="en-US"/>
              </w:rPr>
              <w:t xml:space="preserve"> of H</w:t>
            </w:r>
            <w:r w:rsidRPr="004417CD">
              <w:rPr>
                <w:sz w:val="18"/>
                <w:szCs w:val="18"/>
                <w:vertAlign w:val="subscript"/>
                <w:lang w:val="en-US"/>
              </w:rPr>
              <w:t>2</w:t>
            </w:r>
          </w:p>
        </w:tc>
        <w:tc>
          <w:tcPr>
            <w:tcW w:w="2064" w:type="dxa"/>
            <w:gridSpan w:val="2"/>
          </w:tcPr>
          <w:p w14:paraId="74E87BF3"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w:t>
            </w:r>
          </w:p>
          <w:p w14:paraId="15E7FCEF"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Facility</w:t>
            </w:r>
          </w:p>
        </w:tc>
        <w:tc>
          <w:tcPr>
            <w:tcW w:w="1426" w:type="dxa"/>
            <w:gridSpan w:val="2"/>
          </w:tcPr>
          <w:p w14:paraId="7FDF26C6" w14:textId="2FFB4085"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0EA61D05" wp14:editId="6E3DF550">
                  <wp:extent cx="461882" cy="477078"/>
                  <wp:effectExtent l="0" t="0" r="0" b="0"/>
                  <wp:docPr id="116" name="Picture 1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2EDF84D9" w14:textId="77777777"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2873" w:type="dxa"/>
            <w:gridSpan w:val="2"/>
          </w:tcPr>
          <w:p w14:paraId="4FF849AE" w14:textId="15517356"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Under construction (Operations expected by the end of 2021)</w:t>
            </w:r>
            <w:r>
              <w:rPr>
                <w:sz w:val="18"/>
                <w:szCs w:val="18"/>
                <w:lang w:val="en-US"/>
              </w:rPr>
              <w:t>.</w:t>
            </w:r>
          </w:p>
        </w:tc>
      </w:tr>
      <w:tr w:rsidR="009F3380" w:rsidRPr="00921944" w14:paraId="1CF81351"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42CE9E0D" w14:textId="60F14243" w:rsidR="009F3380" w:rsidRPr="00921944" w:rsidRDefault="009F3380" w:rsidP="009F3380">
            <w:pPr>
              <w:pStyle w:val="ListParagraph"/>
              <w:ind w:left="0"/>
              <w:contextualSpacing w:val="0"/>
              <w:rPr>
                <w:sz w:val="18"/>
                <w:szCs w:val="18"/>
                <w:lang w:val="en-US"/>
              </w:rPr>
            </w:pPr>
            <w:r w:rsidRPr="00921944">
              <w:rPr>
                <w:sz w:val="18"/>
                <w:szCs w:val="18"/>
                <w:lang w:val="en-US"/>
              </w:rPr>
              <w:t>2</w:t>
            </w:r>
            <w:r w:rsidR="00812878">
              <w:rPr>
                <w:sz w:val="18"/>
                <w:szCs w:val="18"/>
                <w:lang w:val="en-US"/>
              </w:rPr>
              <w:t>9</w:t>
            </w:r>
            <w:r w:rsidRPr="00921944">
              <w:rPr>
                <w:sz w:val="18"/>
                <w:szCs w:val="18"/>
                <w:lang w:val="en-US"/>
              </w:rPr>
              <w:t>.</w:t>
            </w:r>
          </w:p>
        </w:tc>
        <w:tc>
          <w:tcPr>
            <w:tcW w:w="3115" w:type="dxa"/>
            <w:shd w:val="clear" w:color="auto" w:fill="FFFFFF" w:themeFill="background1"/>
          </w:tcPr>
          <w:p w14:paraId="542CB2D5" w14:textId="23FFECB1"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Clean Energy Innovation Park</w:t>
            </w:r>
          </w:p>
          <w:p w14:paraId="0C354ED5" w14:textId="77777777" w:rsidR="009F3380" w:rsidRDefault="009F3380" w:rsidP="009F3380">
            <w:pPr>
              <w:pStyle w:val="ListParagraph"/>
              <w:spacing w:before="240" w:after="24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ATCO is developing a hydrogen </w:t>
            </w:r>
            <w:r>
              <w:rPr>
                <w:sz w:val="18"/>
                <w:szCs w:val="18"/>
                <w:lang w:val="en-US"/>
              </w:rPr>
              <w:t>electrolyser</w:t>
            </w:r>
            <w:r w:rsidRPr="00921944">
              <w:rPr>
                <w:sz w:val="18"/>
                <w:szCs w:val="18"/>
                <w:lang w:val="en-US"/>
              </w:rPr>
              <w:t xml:space="preserve"> facility as part of their Clean Energy Innovation Park project. </w:t>
            </w:r>
          </w:p>
          <w:p w14:paraId="3CC5C18A" w14:textId="77777777" w:rsidR="009F3380" w:rsidRDefault="009F3380" w:rsidP="009F3380">
            <w:pPr>
              <w:pStyle w:val="ListParagraph"/>
              <w:spacing w:before="240" w:after="24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The site will host a 10 MW </w:t>
            </w:r>
            <w:r>
              <w:rPr>
                <w:sz w:val="18"/>
                <w:szCs w:val="18"/>
                <w:lang w:val="en-US"/>
              </w:rPr>
              <w:t>electrolyser</w:t>
            </w:r>
            <w:r w:rsidRPr="00921944">
              <w:rPr>
                <w:sz w:val="18"/>
                <w:szCs w:val="18"/>
                <w:lang w:val="en-US"/>
              </w:rPr>
              <w:t xml:space="preserve">, that will generate ~4 ton per day of hydrogen which will be injected into the natural gas grid. The site is co-located with the </w:t>
            </w:r>
            <w:proofErr w:type="spellStart"/>
            <w:r w:rsidRPr="00921944">
              <w:rPr>
                <w:sz w:val="18"/>
                <w:szCs w:val="18"/>
                <w:lang w:val="en-US"/>
              </w:rPr>
              <w:t>Warradarge</w:t>
            </w:r>
            <w:proofErr w:type="spellEnd"/>
            <w:r w:rsidRPr="00921944">
              <w:rPr>
                <w:sz w:val="18"/>
                <w:szCs w:val="18"/>
                <w:lang w:val="en-US"/>
              </w:rPr>
              <w:t xml:space="preserve"> Wind farm (180 MW) which will provide energy to drive the electrolysis plant.</w:t>
            </w:r>
          </w:p>
          <w:p w14:paraId="0B9233B0" w14:textId="0D7E7DD3" w:rsidR="009F3380" w:rsidRPr="00921944" w:rsidRDefault="009F3380" w:rsidP="009F3380">
            <w:pPr>
              <w:pStyle w:val="ListParagraph"/>
              <w:spacing w:before="240" w:after="24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project has been provided with A$28.7 million in funding by ARENA to support the development of the project.</w:t>
            </w:r>
            <w:r w:rsidRPr="00921944">
              <w:rPr>
                <w:sz w:val="18"/>
                <w:szCs w:val="18"/>
                <w:lang w:val="en-US"/>
              </w:rPr>
              <w:fldChar w:fldCharType="begin" w:fldLock="1"/>
            </w:r>
            <w:r w:rsidR="00D21B34">
              <w:rPr>
                <w:sz w:val="18"/>
                <w:szCs w:val="18"/>
                <w:lang w:val="en-US"/>
              </w:rPr>
              <w:instrText>ADDIN CSL_CITATION {"citationItems":[{"id":"ITEM-1","itemData":{"URL":"https://reneweconomy.com.au/australias-first-three-commercial-green-hydrogen-projects-to-share-103m-arena-funds/","accessed":{"date-parts":[["2021","6","3"]]},"author":[{"dropping-particle":"","family":"Mazengarb","given":"Michael","non-dropping-particle":"","parse-names":false,"suffix":""}],"container-title":"RenewEconomy","id":"ITEM-1","issued":{"date-parts":[["2021","5","5"]]},"title":"Australia's first three commercial green hydrogen projects to share $103m ARENA funds","type":"webpage"},"uris":["http://www.mendeley.com/documents/?uuid=571590a9-ee91-3844-9d8c-a150914730d1"]},{"id":"ITEM-2","itemData":{"URL":"https://www.afr.com/companies/energy/arena-tips-100m-into-three-hydrogen-projects-20210504-p57otr","accessed":{"date-parts":[["2021","6","3"]]},"author":[{"dropping-particle":"","family":"Ludlow","given":"Mark","non-dropping-particle":"","parse-names":false,"suffix":""},{"dropping-particle":"","family":"Macdonald-Smith","given":"Angela","non-dropping-particle":"","parse-names":false,"suffix":""}],"container-title":"Financial Review","id":"ITEM-2","issued":{"date-parts":[["2021","5"]]},"title":"ARENA tips $100m into three hydrogen projects","type":"webpage"},"uris":["http://www.mendeley.com/documents/?uuid=e7f8d222-525b-3fce-970d-b999cd9af634"]}],"mendeley":{"formattedCitation":"&lt;sup&gt;39,40&lt;/sup&gt;","plainTextFormattedCitation":"39,40","previouslyFormattedCitation":"&lt;sup&gt;39,40&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39,40</w:t>
            </w:r>
            <w:r w:rsidRPr="00921944">
              <w:rPr>
                <w:sz w:val="18"/>
                <w:szCs w:val="18"/>
                <w:lang w:val="en-US"/>
              </w:rPr>
              <w:fldChar w:fldCharType="end"/>
            </w:r>
          </w:p>
        </w:tc>
        <w:tc>
          <w:tcPr>
            <w:tcW w:w="1620" w:type="dxa"/>
            <w:gridSpan w:val="2"/>
            <w:shd w:val="clear" w:color="auto" w:fill="FFFFFF" w:themeFill="background1"/>
          </w:tcPr>
          <w:p w14:paraId="4702BC0A"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proofErr w:type="spellStart"/>
            <w:r w:rsidRPr="00921944">
              <w:rPr>
                <w:sz w:val="18"/>
                <w:szCs w:val="18"/>
              </w:rPr>
              <w:t>Warradarge</w:t>
            </w:r>
            <w:proofErr w:type="spellEnd"/>
            <w:r w:rsidRPr="00921944">
              <w:rPr>
                <w:sz w:val="18"/>
                <w:szCs w:val="18"/>
              </w:rPr>
              <w:t>,</w:t>
            </w:r>
          </w:p>
          <w:p w14:paraId="02D5AE0C" w14:textId="1B9697F5"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WA</w:t>
            </w:r>
          </w:p>
        </w:tc>
        <w:tc>
          <w:tcPr>
            <w:tcW w:w="2059" w:type="dxa"/>
            <w:gridSpan w:val="2"/>
            <w:shd w:val="clear" w:color="auto" w:fill="FFFFFF" w:themeFill="background1"/>
          </w:tcPr>
          <w:p w14:paraId="74AB1EE1" w14:textId="77777777" w:rsidR="009F3380"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vertAlign w:val="subscript"/>
                <w:lang w:val="en-US"/>
              </w:rPr>
            </w:pPr>
            <w:r w:rsidRPr="00921944">
              <w:rPr>
                <w:sz w:val="18"/>
                <w:szCs w:val="18"/>
                <w:lang w:val="en-US"/>
              </w:rPr>
              <w:t xml:space="preserve">4 </w:t>
            </w:r>
            <w:proofErr w:type="spellStart"/>
            <w:r w:rsidRPr="00921944">
              <w:rPr>
                <w:sz w:val="18"/>
                <w:szCs w:val="18"/>
                <w:lang w:val="en-US"/>
              </w:rPr>
              <w:t>tpd</w:t>
            </w:r>
            <w:proofErr w:type="spellEnd"/>
            <w:r>
              <w:rPr>
                <w:sz w:val="18"/>
                <w:szCs w:val="18"/>
                <w:lang w:val="en-US"/>
              </w:rPr>
              <w:t xml:space="preserve"> of H</w:t>
            </w:r>
            <w:r w:rsidRPr="00C52D47">
              <w:rPr>
                <w:sz w:val="18"/>
                <w:szCs w:val="18"/>
                <w:vertAlign w:val="subscript"/>
                <w:lang w:val="en-US"/>
              </w:rPr>
              <w:t>2</w:t>
            </w:r>
          </w:p>
          <w:p w14:paraId="5A82C44C" w14:textId="42FEA0EE"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(10 MW electrolyser)</w:t>
            </w:r>
          </w:p>
        </w:tc>
        <w:tc>
          <w:tcPr>
            <w:tcW w:w="2064" w:type="dxa"/>
            <w:gridSpan w:val="2"/>
            <w:shd w:val="clear" w:color="auto" w:fill="FFFFFF" w:themeFill="background1"/>
          </w:tcPr>
          <w:p w14:paraId="65B16B74" w14:textId="3E22736F"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Demonstration Plant</w:t>
            </w:r>
          </w:p>
        </w:tc>
        <w:tc>
          <w:tcPr>
            <w:tcW w:w="1426" w:type="dxa"/>
            <w:gridSpan w:val="2"/>
            <w:shd w:val="clear" w:color="auto" w:fill="FFFFFF" w:themeFill="background1"/>
          </w:tcPr>
          <w:p w14:paraId="62743BCC" w14:textId="65216A7D"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4A163DCE" wp14:editId="433B2D6A">
                  <wp:extent cx="461882" cy="477078"/>
                  <wp:effectExtent l="0" t="0" r="0" b="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shd w:val="clear" w:color="auto" w:fill="FFFFFF" w:themeFill="background1"/>
          </w:tcPr>
          <w:p w14:paraId="2026E837" w14:textId="47B7F5A4"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77E9697C" wp14:editId="4C79AAFF">
                  <wp:extent cx="461882" cy="477078"/>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shd w:val="clear" w:color="auto" w:fill="FFFFFF" w:themeFill="background1"/>
          </w:tcPr>
          <w:p w14:paraId="0FA73710" w14:textId="70C277CA"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Final stages of project development</w:t>
            </w:r>
            <w:r>
              <w:rPr>
                <w:sz w:val="18"/>
                <w:szCs w:val="18"/>
                <w:lang w:val="en-US"/>
              </w:rPr>
              <w:t>.</w:t>
            </w:r>
          </w:p>
        </w:tc>
      </w:tr>
      <w:tr w:rsidR="009F3380" w:rsidRPr="00921944" w14:paraId="65CA3393"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4E28CF0A" w14:textId="5DB1ECCB" w:rsidR="009F3380" w:rsidRPr="00921944" w:rsidRDefault="00812878" w:rsidP="009F3380">
            <w:pPr>
              <w:pStyle w:val="ListParagraph"/>
              <w:ind w:left="0"/>
              <w:contextualSpacing w:val="0"/>
              <w:rPr>
                <w:sz w:val="18"/>
                <w:szCs w:val="18"/>
                <w:lang w:val="en-US"/>
              </w:rPr>
            </w:pPr>
            <w:r>
              <w:rPr>
                <w:sz w:val="18"/>
                <w:szCs w:val="18"/>
                <w:lang w:val="en-US"/>
              </w:rPr>
              <w:lastRenderedPageBreak/>
              <w:t>30</w:t>
            </w:r>
            <w:r w:rsidR="009F3380" w:rsidRPr="00921944">
              <w:rPr>
                <w:sz w:val="18"/>
                <w:szCs w:val="18"/>
                <w:lang w:val="en-US"/>
              </w:rPr>
              <w:t>.</w:t>
            </w:r>
          </w:p>
        </w:tc>
        <w:tc>
          <w:tcPr>
            <w:tcW w:w="3115" w:type="dxa"/>
          </w:tcPr>
          <w:p w14:paraId="0E9BA0A2"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Badgingarra Renewable Hydrogen Project</w:t>
            </w:r>
          </w:p>
          <w:p w14:paraId="30C9076E" w14:textId="7AE6DDC1" w:rsidR="009F3380" w:rsidRDefault="009F3380" w:rsidP="009F3380">
            <w:pPr>
              <w:pStyle w:val="ListParagraph"/>
              <w:spacing w:before="240" w:after="120"/>
              <w:ind w:left="0" w:right="41"/>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Badgingarra Renewable Hydrogen project is proposed to generate hydrogen from local renewable resources for power generation, transport operation and industrial applications.</w:t>
            </w:r>
            <w:r>
              <w:rPr>
                <w:sz w:val="18"/>
                <w:szCs w:val="18"/>
                <w:lang w:val="en-US"/>
              </w:rPr>
              <w:fldChar w:fldCharType="begin" w:fldLock="1"/>
            </w:r>
            <w:r w:rsidR="00D21B34">
              <w:rPr>
                <w:sz w:val="18"/>
                <w:szCs w:val="18"/>
                <w:lang w:val="en-US"/>
              </w:rPr>
              <w:instrText>ADDIN CSL_CITATION {"citationItems":[{"id":"ITEM-1","itemData":{"URL":"https://research.csiro.au/hyresource/badgingarra-renewable-hydrogen-project/","accessed":{"date-parts":[["2021","4","19"]]},"author":[{"dropping-particle":"","family":"CSIRO","given":"","non-dropping-particle":"","parse-names":false,"suffix":""}],"container-title":"HyResource","id":"ITEM-1","issued":{"date-parts":[["2020","9","23"]]},"title":"Badgingarra Renewable Hydrogen Project ","type":"webpage"},"uris":["http://www.mendeley.com/documents/?uuid=5875d0a5-bda2-364c-b946-39829d4d1105"]}],"mendeley":{"formattedCitation":"&lt;sup&gt;66&lt;/sup&gt;","plainTextFormattedCitation":"66","previouslyFormattedCitation":"&lt;sup&gt;66&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66</w:t>
            </w:r>
            <w:r>
              <w:rPr>
                <w:sz w:val="18"/>
                <w:szCs w:val="18"/>
                <w:lang w:val="en-US"/>
              </w:rPr>
              <w:fldChar w:fldCharType="end"/>
            </w:r>
            <w:r w:rsidRPr="00921944">
              <w:rPr>
                <w:sz w:val="18"/>
                <w:szCs w:val="18"/>
                <w:lang w:val="en-US"/>
              </w:rPr>
              <w:t xml:space="preserve"> </w:t>
            </w:r>
          </w:p>
          <w:p w14:paraId="036E23D9" w14:textId="516A0CC6" w:rsidR="009F3380" w:rsidRPr="00921944" w:rsidRDefault="009F3380" w:rsidP="009F3380">
            <w:pPr>
              <w:pStyle w:val="ListParagraph"/>
              <w:spacing w:before="240" w:after="120"/>
              <w:ind w:left="0" w:right="41"/>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Future provisions include plans to develop a pipeline for transporting the hydrogen to Perth.</w:t>
            </w:r>
          </w:p>
        </w:tc>
        <w:tc>
          <w:tcPr>
            <w:tcW w:w="1620" w:type="dxa"/>
            <w:gridSpan w:val="2"/>
          </w:tcPr>
          <w:p w14:paraId="3361E9C4"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 xml:space="preserve">Badgingarra, </w:t>
            </w:r>
          </w:p>
          <w:p w14:paraId="4E51C4F1"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WA</w:t>
            </w:r>
          </w:p>
        </w:tc>
        <w:tc>
          <w:tcPr>
            <w:tcW w:w="2059" w:type="dxa"/>
            <w:gridSpan w:val="2"/>
          </w:tcPr>
          <w:p w14:paraId="31FD28FE"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N.A.</w:t>
            </w:r>
          </w:p>
        </w:tc>
        <w:tc>
          <w:tcPr>
            <w:tcW w:w="2064" w:type="dxa"/>
            <w:gridSpan w:val="2"/>
          </w:tcPr>
          <w:p w14:paraId="581A7123"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Feasibility Study (Commercial Plant) </w:t>
            </w:r>
          </w:p>
        </w:tc>
        <w:tc>
          <w:tcPr>
            <w:tcW w:w="1426" w:type="dxa"/>
            <w:gridSpan w:val="2"/>
          </w:tcPr>
          <w:p w14:paraId="097335E4" w14:textId="08C6ED22"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34AEDD3F" wp14:editId="21B0B135">
                  <wp:extent cx="461882" cy="477078"/>
                  <wp:effectExtent l="0" t="0" r="0" b="0"/>
                  <wp:docPr id="117" name="Picture 1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23E72E11" w14:textId="77777777"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2873" w:type="dxa"/>
            <w:gridSpan w:val="2"/>
          </w:tcPr>
          <w:p w14:paraId="76DF0B87" w14:textId="4C4EE3E8"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Early stages of development</w:t>
            </w:r>
            <w:r>
              <w:rPr>
                <w:sz w:val="18"/>
                <w:szCs w:val="18"/>
                <w:lang w:val="en-US"/>
              </w:rPr>
              <w:t>.</w:t>
            </w:r>
          </w:p>
        </w:tc>
      </w:tr>
      <w:tr w:rsidR="009F3380" w:rsidRPr="00921944" w14:paraId="44343C9E" w14:textId="77777777" w:rsidTr="008128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19298039" w14:textId="69EFFC28" w:rsidR="009F3380" w:rsidRPr="00921944" w:rsidRDefault="009F3380" w:rsidP="009F3380">
            <w:pPr>
              <w:pStyle w:val="ListParagraph"/>
              <w:ind w:left="0"/>
              <w:contextualSpacing w:val="0"/>
              <w:rPr>
                <w:sz w:val="18"/>
                <w:szCs w:val="18"/>
                <w:lang w:val="en-US"/>
              </w:rPr>
            </w:pPr>
            <w:r>
              <w:rPr>
                <w:sz w:val="18"/>
                <w:szCs w:val="18"/>
                <w:lang w:val="en-US"/>
              </w:rPr>
              <w:t>3</w:t>
            </w:r>
            <w:r w:rsidR="00812878">
              <w:rPr>
                <w:sz w:val="18"/>
                <w:szCs w:val="18"/>
                <w:lang w:val="en-US"/>
              </w:rPr>
              <w:t>1</w:t>
            </w:r>
            <w:r w:rsidRPr="00921944">
              <w:rPr>
                <w:sz w:val="18"/>
                <w:szCs w:val="18"/>
                <w:lang w:val="en-US"/>
              </w:rPr>
              <w:t>.</w:t>
            </w:r>
          </w:p>
        </w:tc>
        <w:tc>
          <w:tcPr>
            <w:tcW w:w="3115" w:type="dxa"/>
            <w:shd w:val="clear" w:color="auto" w:fill="FFFFFF" w:themeFill="background1"/>
          </w:tcPr>
          <w:p w14:paraId="6828BACF"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Arrowsmith Hydrogen Project</w:t>
            </w:r>
          </w:p>
          <w:p w14:paraId="73468213" w14:textId="77777777" w:rsidR="009F3380" w:rsidRDefault="009F3380" w:rsidP="009F338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Infinite Blue Energy have proposed plans to develop the Arrowsmith Hydrogen Project. </w:t>
            </w:r>
          </w:p>
          <w:p w14:paraId="75BE9672" w14:textId="4877C5F7" w:rsidR="009F3380" w:rsidRDefault="009F3380" w:rsidP="009F338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facility is expected to be developed in 2 stages, with stage 1 acting as a small-scale plant for hydrogen utilization locally</w:t>
            </w:r>
            <w:r>
              <w:rPr>
                <w:sz w:val="18"/>
                <w:szCs w:val="18"/>
                <w:lang w:val="en-US"/>
              </w:rPr>
              <w:fldChar w:fldCharType="begin" w:fldLock="1"/>
            </w:r>
            <w:r w:rsidR="00D21B34">
              <w:rPr>
                <w:sz w:val="18"/>
                <w:szCs w:val="18"/>
                <w:lang w:val="en-US"/>
              </w:rPr>
              <w:instrText>ADDIN CSL_CITATION {"citationItems":[{"id":"ITEM-1","itemData":{"URL":"https://www.infiniteblueenergy.com/projects/arrowsmith-hydrogen-plant-stage-1/","accessed":{"date-parts":[["2021","7","23"]]},"author":[{"dropping-particle":"","family":"Infinite Blue Energy","given":"","non-dropping-particle":"","parse-names":false,"suffix":""}],"id":"ITEM-1","issued":{"date-parts":[["0"]]},"title":"Arrowsmith Hydrogen Plant stage 1","type":"webpage"},"uris":["http://www.mendeley.com/documents/?uuid=834e5fbe-a6b0-374c-8fc3-61e358152fe2"]}],"mendeley":{"formattedCitation":"&lt;sup&gt;67&lt;/sup&gt;","plainTextFormattedCitation":"67","previouslyFormattedCitation":"&lt;sup&gt;67&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67</w:t>
            </w:r>
            <w:r>
              <w:rPr>
                <w:sz w:val="18"/>
                <w:szCs w:val="18"/>
                <w:lang w:val="en-US"/>
              </w:rPr>
              <w:fldChar w:fldCharType="end"/>
            </w:r>
            <w:r w:rsidRPr="00921944">
              <w:rPr>
                <w:sz w:val="18"/>
                <w:szCs w:val="18"/>
                <w:lang w:val="en-US"/>
              </w:rPr>
              <w:t xml:space="preserve"> and stage 2 is aimed for large scale production</w:t>
            </w:r>
            <w:r>
              <w:rPr>
                <w:sz w:val="18"/>
                <w:szCs w:val="18"/>
                <w:lang w:val="en-US"/>
              </w:rPr>
              <w:t xml:space="preserve"> targeted for</w:t>
            </w:r>
            <w:r w:rsidRPr="00921944">
              <w:rPr>
                <w:sz w:val="18"/>
                <w:szCs w:val="18"/>
                <w:lang w:val="en-US"/>
              </w:rPr>
              <w:t xml:space="preserve"> export.</w:t>
            </w:r>
            <w:r>
              <w:rPr>
                <w:sz w:val="18"/>
                <w:szCs w:val="18"/>
                <w:lang w:val="en-US"/>
              </w:rPr>
              <w:fldChar w:fldCharType="begin" w:fldLock="1"/>
            </w:r>
            <w:r w:rsidR="00D21B34">
              <w:rPr>
                <w:sz w:val="18"/>
                <w:szCs w:val="18"/>
                <w:lang w:val="en-US"/>
              </w:rPr>
              <w:instrText>ADDIN CSL_CITATION {"citationItems":[{"id":"ITEM-1","itemData":{"URL":"https://www.infiniteblueenergy.com/projects/arrowsmith-hydrogen-plant-stage-2/","accessed":{"date-parts":[["2021","7","23"]]},"author":[{"dropping-particle":"","family":"Infinite Blue Energy","given":"","non-dropping-particle":"","parse-names":false,"suffix":""}],"id":"ITEM-1","issued":{"date-parts":[["0"]]},"title":"Arrowsmith Hydrogen Plant stage 2 ","type":"webpage"},"uris":["http://www.mendeley.com/documents/?uuid=78f5cb66-20bb-3809-8d66-6ec7f32770fe"]}],"mendeley":{"formattedCitation":"&lt;sup&gt;68&lt;/sup&gt;","plainTextFormattedCitation":"68","previouslyFormattedCitation":"&lt;sup&gt;68&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68</w:t>
            </w:r>
            <w:r>
              <w:rPr>
                <w:sz w:val="18"/>
                <w:szCs w:val="18"/>
                <w:lang w:val="en-US"/>
              </w:rPr>
              <w:fldChar w:fldCharType="end"/>
            </w:r>
          </w:p>
          <w:p w14:paraId="7D938890" w14:textId="4E5F4F75" w:rsidR="009F3380" w:rsidRPr="00921944" w:rsidRDefault="009F3380" w:rsidP="009F338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The company conducted a prefeasibility study for a A$350 million project with Petrofac in 2020.</w:t>
            </w:r>
            <w:r>
              <w:rPr>
                <w:sz w:val="18"/>
                <w:szCs w:val="18"/>
                <w:lang w:val="en-US"/>
              </w:rPr>
              <w:fldChar w:fldCharType="begin" w:fldLock="1"/>
            </w:r>
            <w:r w:rsidR="00D21B34">
              <w:rPr>
                <w:sz w:val="18"/>
                <w:szCs w:val="18"/>
                <w:lang w:val="en-US"/>
              </w:rPr>
              <w:instrText>ADDIN CSL_CITATION {"citationItems":[{"id":"ITEM-1","itemData":{"URL":"https://www.infiniteblueenergy.com/infinite-blue-energy-progresses-perth-green-hydrogen-plant/","accessed":{"date-parts":[["2021","7","23"]]},"author":[{"dropping-particle":"","family":"Infinite Blue Energy","given":"","non-dropping-particle":"","parse-names":false,"suffix":""}],"container-title":"2020","id":"ITEM-1","issued":{"date-parts":[["0"]]},"title":"Infinite Blue Energy progresses Perth green hydrogen plant ","type":"webpage"},"uris":["http://www.mendeley.com/documents/?uuid=2161fb5a-e54d-3ed8-bcf4-df1409a31e71"]}],"mendeley":{"formattedCitation":"&lt;sup&gt;69&lt;/sup&gt;","plainTextFormattedCitation":"69","previouslyFormattedCitation":"&lt;sup&gt;69&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69</w:t>
            </w:r>
            <w:r>
              <w:rPr>
                <w:sz w:val="18"/>
                <w:szCs w:val="18"/>
                <w:lang w:val="en-US"/>
              </w:rPr>
              <w:fldChar w:fldCharType="end"/>
            </w:r>
            <w:r>
              <w:rPr>
                <w:sz w:val="18"/>
                <w:szCs w:val="18"/>
                <w:lang w:val="en-US"/>
              </w:rPr>
              <w:t xml:space="preserve"> The company has since secured A$300 million in investment to proceed ahead with the stage 1 of the project.</w:t>
            </w:r>
            <w:r>
              <w:rPr>
                <w:sz w:val="18"/>
                <w:szCs w:val="18"/>
                <w:lang w:val="en-US"/>
              </w:rPr>
              <w:fldChar w:fldCharType="begin" w:fldLock="1"/>
            </w:r>
            <w:r w:rsidR="00D21B34">
              <w:rPr>
                <w:sz w:val="18"/>
                <w:szCs w:val="18"/>
                <w:lang w:val="en-US"/>
              </w:rPr>
              <w:instrText>ADDIN CSL_CITATION {"citationItems":[{"id":"ITEM-1","itemData":{"URL":"https://reneweconomy.com.au/massive-hydrogen-project-gets-green-light-after-securing-300m-investment-68959/","accessed":{"date-parts":[["2021","7","23"]]},"author":[{"dropping-particle":"","family":"Mazengarb","given":"Michael","non-dropping-particle":"","parse-names":false,"suffix":""}],"container-title":"RenewEconomy","id":"ITEM-1","issued":{"date-parts":[["2020","4","29"]]},"title":"Massive hydrogen project gets green light after securing $300m investment ","type":"webpage"},"uris":["http://www.mendeley.com/documents/?uuid=84ed33f2-a80e-30a0-a51e-bb7f80a9cb34"]}],"mendeley":{"formattedCitation":"&lt;sup&gt;70&lt;/sup&gt;","plainTextFormattedCitation":"70","previouslyFormattedCitation":"&lt;sup&gt;70&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70</w:t>
            </w:r>
            <w:r>
              <w:rPr>
                <w:sz w:val="18"/>
                <w:szCs w:val="18"/>
                <w:lang w:val="en-US"/>
              </w:rPr>
              <w:fldChar w:fldCharType="end"/>
            </w:r>
          </w:p>
        </w:tc>
        <w:tc>
          <w:tcPr>
            <w:tcW w:w="1620" w:type="dxa"/>
            <w:gridSpan w:val="2"/>
            <w:shd w:val="clear" w:color="auto" w:fill="FFFFFF" w:themeFill="background1"/>
          </w:tcPr>
          <w:p w14:paraId="1FEAF5B3"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 xml:space="preserve">Dongara, </w:t>
            </w:r>
          </w:p>
          <w:p w14:paraId="13E09166"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WA</w:t>
            </w:r>
          </w:p>
        </w:tc>
        <w:tc>
          <w:tcPr>
            <w:tcW w:w="2059" w:type="dxa"/>
            <w:gridSpan w:val="2"/>
            <w:shd w:val="clear" w:color="auto" w:fill="FFFFFF" w:themeFill="background1"/>
          </w:tcPr>
          <w:p w14:paraId="4B799E70" w14:textId="77777777" w:rsidR="009F3380"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9</w:t>
            </w:r>
            <w:r>
              <w:rPr>
                <w:sz w:val="18"/>
                <w:szCs w:val="18"/>
                <w:lang w:val="en-US"/>
              </w:rPr>
              <w:t xml:space="preserve"> </w:t>
            </w:r>
            <w:proofErr w:type="spellStart"/>
            <w:r w:rsidRPr="00921944">
              <w:rPr>
                <w:sz w:val="18"/>
                <w:szCs w:val="18"/>
                <w:lang w:val="en-US"/>
              </w:rPr>
              <w:t>ktpa</w:t>
            </w:r>
            <w:proofErr w:type="spellEnd"/>
            <w:r w:rsidRPr="00921944">
              <w:rPr>
                <w:sz w:val="18"/>
                <w:szCs w:val="18"/>
                <w:lang w:val="en-US"/>
              </w:rPr>
              <w:t xml:space="preserve"> </w:t>
            </w:r>
            <w:r>
              <w:rPr>
                <w:sz w:val="18"/>
                <w:szCs w:val="18"/>
                <w:lang w:val="en-US"/>
              </w:rPr>
              <w:t>of H</w:t>
            </w:r>
            <w:r w:rsidRPr="004417CD">
              <w:rPr>
                <w:sz w:val="18"/>
                <w:szCs w:val="18"/>
                <w:vertAlign w:val="subscript"/>
                <w:lang w:val="en-US"/>
              </w:rPr>
              <w:t>2</w:t>
            </w:r>
          </w:p>
          <w:p w14:paraId="2936A077" w14:textId="0447A460"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(First Stage)</w:t>
            </w:r>
          </w:p>
          <w:p w14:paraId="2FB6C7BA"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p w14:paraId="63BD24F0" w14:textId="77777777" w:rsidR="009F3380"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1</w:t>
            </w:r>
            <w:r>
              <w:rPr>
                <w:sz w:val="18"/>
                <w:szCs w:val="18"/>
                <w:lang w:val="en-US"/>
              </w:rPr>
              <w:t>2</w:t>
            </w:r>
            <w:r w:rsidRPr="00921944">
              <w:rPr>
                <w:sz w:val="18"/>
                <w:szCs w:val="18"/>
                <w:lang w:val="en-US"/>
              </w:rPr>
              <w:t>0</w:t>
            </w:r>
            <w:r>
              <w:rPr>
                <w:sz w:val="18"/>
                <w:szCs w:val="18"/>
                <w:lang w:val="en-US"/>
              </w:rPr>
              <w:t xml:space="preserve"> </w:t>
            </w:r>
            <w:proofErr w:type="spellStart"/>
            <w:r w:rsidRPr="00921944">
              <w:rPr>
                <w:sz w:val="18"/>
                <w:szCs w:val="18"/>
                <w:lang w:val="en-US"/>
              </w:rPr>
              <w:t>tpd</w:t>
            </w:r>
            <w:proofErr w:type="spellEnd"/>
            <w:r w:rsidRPr="00921944">
              <w:rPr>
                <w:sz w:val="18"/>
                <w:szCs w:val="18"/>
                <w:lang w:val="en-US"/>
              </w:rPr>
              <w:t xml:space="preserve"> </w:t>
            </w:r>
            <w:r>
              <w:rPr>
                <w:sz w:val="18"/>
                <w:szCs w:val="18"/>
                <w:lang w:val="en-US"/>
              </w:rPr>
              <w:t>of H</w:t>
            </w:r>
            <w:r w:rsidRPr="004417CD">
              <w:rPr>
                <w:sz w:val="18"/>
                <w:szCs w:val="18"/>
                <w:vertAlign w:val="subscript"/>
                <w:lang w:val="en-US"/>
              </w:rPr>
              <w:t>2</w:t>
            </w:r>
          </w:p>
          <w:p w14:paraId="121903E3" w14:textId="3E6C81D2"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 (Second Stage)</w:t>
            </w:r>
          </w:p>
        </w:tc>
        <w:tc>
          <w:tcPr>
            <w:tcW w:w="2064" w:type="dxa"/>
            <w:gridSpan w:val="2"/>
            <w:shd w:val="clear" w:color="auto" w:fill="FFFFFF" w:themeFill="background1"/>
          </w:tcPr>
          <w:p w14:paraId="64B6E2B8"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Feasibility Study (Commercial Plant)</w:t>
            </w:r>
          </w:p>
        </w:tc>
        <w:tc>
          <w:tcPr>
            <w:tcW w:w="1426" w:type="dxa"/>
            <w:gridSpan w:val="2"/>
            <w:shd w:val="clear" w:color="auto" w:fill="FFFFFF" w:themeFill="background1"/>
          </w:tcPr>
          <w:p w14:paraId="5724A314" w14:textId="11870C72"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1A3F1D6B" wp14:editId="6DC4035F">
                  <wp:extent cx="461882" cy="477078"/>
                  <wp:effectExtent l="0" t="0" r="0" b="0"/>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shd w:val="clear" w:color="auto" w:fill="FFFFFF" w:themeFill="background1"/>
          </w:tcPr>
          <w:p w14:paraId="3391283C" w14:textId="222B0D91"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110CE620" wp14:editId="56066FB4">
                  <wp:extent cx="461882" cy="477078"/>
                  <wp:effectExtent l="0" t="0" r="0" b="0"/>
                  <wp:docPr id="120" name="Picture 1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shd w:val="clear" w:color="auto" w:fill="FFFFFF" w:themeFill="background1"/>
          </w:tcPr>
          <w:p w14:paraId="62C143D6"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project has successfully secured investment for stage 1.</w:t>
            </w:r>
          </w:p>
          <w:p w14:paraId="2B5451DE"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p w14:paraId="5CD5856B"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Stage 1 due in 2022</w:t>
            </w:r>
          </w:p>
          <w:p w14:paraId="066C3690"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p>
          <w:p w14:paraId="0075D9E1"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Stage 2 due by 2030</w:t>
            </w:r>
          </w:p>
        </w:tc>
      </w:tr>
      <w:tr w:rsidR="009F3380" w:rsidRPr="00921944" w14:paraId="70C3A235"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230655DD" w14:textId="6C88202E" w:rsidR="009F3380" w:rsidRPr="00921944" w:rsidRDefault="009F3380" w:rsidP="009F3380">
            <w:pPr>
              <w:pStyle w:val="ListParagraph"/>
              <w:ind w:left="0"/>
              <w:contextualSpacing w:val="0"/>
              <w:rPr>
                <w:sz w:val="18"/>
                <w:szCs w:val="18"/>
                <w:lang w:val="en-US"/>
              </w:rPr>
            </w:pPr>
            <w:r>
              <w:rPr>
                <w:sz w:val="18"/>
                <w:szCs w:val="18"/>
                <w:lang w:val="en-US"/>
              </w:rPr>
              <w:t>3</w:t>
            </w:r>
            <w:r w:rsidR="00812878">
              <w:rPr>
                <w:sz w:val="18"/>
                <w:szCs w:val="18"/>
                <w:lang w:val="en-US"/>
              </w:rPr>
              <w:t>2</w:t>
            </w:r>
            <w:r w:rsidRPr="00921944">
              <w:rPr>
                <w:sz w:val="18"/>
                <w:szCs w:val="18"/>
                <w:lang w:val="en-US"/>
              </w:rPr>
              <w:t>.</w:t>
            </w:r>
          </w:p>
        </w:tc>
        <w:tc>
          <w:tcPr>
            <w:tcW w:w="3115" w:type="dxa"/>
          </w:tcPr>
          <w:p w14:paraId="4518C3C5"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Oakajee Hydrogen Generation Zone</w:t>
            </w:r>
          </w:p>
          <w:p w14:paraId="7EF8C7EB" w14:textId="37C81FB8" w:rsidR="009F3380" w:rsidRDefault="009F3380" w:rsidP="009F3380">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Western Australia Government has </w:t>
            </w:r>
            <w:r>
              <w:rPr>
                <w:sz w:val="18"/>
                <w:szCs w:val="18"/>
                <w:lang w:val="en-US"/>
              </w:rPr>
              <w:t>allocated</w:t>
            </w:r>
            <w:r w:rsidRPr="00921944">
              <w:rPr>
                <w:sz w:val="18"/>
                <w:szCs w:val="18"/>
                <w:lang w:val="en-US"/>
              </w:rPr>
              <w:t xml:space="preserve"> </w:t>
            </w:r>
            <w:r>
              <w:rPr>
                <w:sz w:val="18"/>
                <w:szCs w:val="18"/>
                <w:lang w:val="en-US"/>
              </w:rPr>
              <w:t>A</w:t>
            </w:r>
            <w:r w:rsidRPr="00921944">
              <w:rPr>
                <w:sz w:val="18"/>
                <w:szCs w:val="18"/>
                <w:lang w:val="en-US"/>
              </w:rPr>
              <w:t xml:space="preserve">$28 million </w:t>
            </w:r>
            <w:r>
              <w:rPr>
                <w:sz w:val="18"/>
                <w:szCs w:val="18"/>
                <w:lang w:val="en-US"/>
              </w:rPr>
              <w:t xml:space="preserve">in </w:t>
            </w:r>
            <w:r w:rsidRPr="00921944">
              <w:rPr>
                <w:sz w:val="18"/>
                <w:szCs w:val="18"/>
                <w:lang w:val="en-US"/>
              </w:rPr>
              <w:t>funding to develop the Oakajee Strategic Industrial Area</w:t>
            </w:r>
            <w:r>
              <w:rPr>
                <w:sz w:val="18"/>
                <w:szCs w:val="18"/>
                <w:lang w:val="en-US"/>
              </w:rPr>
              <w:t xml:space="preserve"> to develop hydrogen export projects</w:t>
            </w:r>
            <w:r w:rsidRPr="00921944">
              <w:rPr>
                <w:sz w:val="18"/>
                <w:szCs w:val="18"/>
                <w:lang w:val="en-US"/>
              </w:rPr>
              <w:t xml:space="preserve">. </w:t>
            </w:r>
          </w:p>
          <w:p w14:paraId="621B3727" w14:textId="79482486" w:rsidR="009F3380" w:rsidRPr="00921944" w:rsidRDefault="009F3380" w:rsidP="009F3380">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area will have access to 1.25 GW of wind and 270 MW of solar </w:t>
            </w:r>
            <w:r w:rsidRPr="00921944">
              <w:rPr>
                <w:sz w:val="18"/>
                <w:szCs w:val="18"/>
                <w:lang w:val="en-US"/>
              </w:rPr>
              <w:lastRenderedPageBreak/>
              <w:t>energy for hydrogen generation. The WA government has called for expression of interest to invite prospective project partners for the zone.</w:t>
            </w:r>
            <w:r w:rsidRPr="00921944">
              <w:rPr>
                <w:sz w:val="18"/>
                <w:szCs w:val="18"/>
                <w:lang w:val="en-US"/>
              </w:rPr>
              <w:fldChar w:fldCharType="begin" w:fldLock="1"/>
            </w:r>
            <w:r w:rsidR="00D21B34">
              <w:rPr>
                <w:sz w:val="18"/>
                <w:szCs w:val="18"/>
                <w:lang w:val="en-US"/>
              </w:rPr>
              <w:instrText>ADDIN CSL_CITATION {"citationItems":[{"id":"ITEM-1","itemData":{"URL":"https://reneweconomy.com.au/call-to-develop-1-5gw-green-hydrogen-hub-gets-super-major-response/","accessed":{"date-parts":[["2021","4","20"]]},"author":[{"dropping-particle":"","family":"Vorrath","given":"Sophie","non-dropping-particle":"","parse-names":false,"suffix":""}],"container-title":"RenewEconomy","id":"ITEM-1","issued":{"date-parts":[["2021","1","22"]]},"title":"Call to develop 1.5GW green hydrogen hub gets \"super major\" response ","type":"webpage"},"uris":["http://www.mendeley.com/documents/?uuid=04e87b78-4cc2-3f58-9459-aa9dfb7b071b"]}],"mendeley":{"formattedCitation":"&lt;sup&gt;71&lt;/sup&gt;","plainTextFormattedCitation":"71","previouslyFormattedCitation":"&lt;sup&gt;71&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71</w:t>
            </w:r>
            <w:r w:rsidRPr="00921944">
              <w:rPr>
                <w:sz w:val="18"/>
                <w:szCs w:val="18"/>
                <w:lang w:val="en-US"/>
              </w:rPr>
              <w:fldChar w:fldCharType="end"/>
            </w:r>
            <w:r w:rsidRPr="00921944">
              <w:rPr>
                <w:sz w:val="18"/>
                <w:szCs w:val="18"/>
                <w:lang w:val="en-US"/>
              </w:rPr>
              <w:t xml:space="preserve"> </w:t>
            </w:r>
          </w:p>
        </w:tc>
        <w:tc>
          <w:tcPr>
            <w:tcW w:w="1620" w:type="dxa"/>
            <w:gridSpan w:val="2"/>
          </w:tcPr>
          <w:p w14:paraId="491FC429"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lastRenderedPageBreak/>
              <w:t>Oakajee,</w:t>
            </w:r>
          </w:p>
          <w:p w14:paraId="62B52F6F"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WA</w:t>
            </w:r>
          </w:p>
        </w:tc>
        <w:tc>
          <w:tcPr>
            <w:tcW w:w="2059" w:type="dxa"/>
            <w:gridSpan w:val="2"/>
          </w:tcPr>
          <w:p w14:paraId="5BE9ADA8"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 A</w:t>
            </w:r>
          </w:p>
        </w:tc>
        <w:tc>
          <w:tcPr>
            <w:tcW w:w="2064" w:type="dxa"/>
            <w:gridSpan w:val="2"/>
          </w:tcPr>
          <w:p w14:paraId="2EB7FB4C"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Expression of Interest</w:t>
            </w:r>
          </w:p>
          <w:p w14:paraId="63305059" w14:textId="006B13D9"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r>
              <w:rPr>
                <w:sz w:val="18"/>
                <w:szCs w:val="18"/>
                <w:lang w:val="en-US"/>
              </w:rPr>
              <w:t>s</w:t>
            </w:r>
            <w:r w:rsidRPr="00921944">
              <w:rPr>
                <w:sz w:val="18"/>
                <w:szCs w:val="18"/>
                <w:lang w:val="en-US"/>
              </w:rPr>
              <w:t>)</w:t>
            </w:r>
          </w:p>
        </w:tc>
        <w:tc>
          <w:tcPr>
            <w:tcW w:w="1426" w:type="dxa"/>
            <w:gridSpan w:val="2"/>
          </w:tcPr>
          <w:p w14:paraId="4F8759F2" w14:textId="7C78F291"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0DF4F2F3" wp14:editId="72794AC0">
                  <wp:extent cx="461882" cy="477078"/>
                  <wp:effectExtent l="0" t="0" r="0" b="0"/>
                  <wp:docPr id="121" name="Picture 1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16927D2C" w14:textId="6774140A"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2042A92D" wp14:editId="73904FD0">
                  <wp:extent cx="461882" cy="477078"/>
                  <wp:effectExtent l="0" t="0" r="0" b="0"/>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tcPr>
          <w:p w14:paraId="0CD8B5D0" w14:textId="31C9F77A"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WA government has received several Expression</w:t>
            </w:r>
            <w:r>
              <w:rPr>
                <w:sz w:val="18"/>
                <w:szCs w:val="18"/>
                <w:lang w:val="en-US"/>
              </w:rPr>
              <w:t>s</w:t>
            </w:r>
            <w:r w:rsidRPr="00921944">
              <w:rPr>
                <w:sz w:val="18"/>
                <w:szCs w:val="18"/>
                <w:lang w:val="en-US"/>
              </w:rPr>
              <w:t xml:space="preserve"> of Interest.</w:t>
            </w:r>
          </w:p>
        </w:tc>
      </w:tr>
      <w:tr w:rsidR="009F3380" w:rsidRPr="00921944" w14:paraId="46AA84F3"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1C32CD8F" w14:textId="79BA8E3C" w:rsidR="009F3380" w:rsidRPr="00921944" w:rsidRDefault="009F3380" w:rsidP="009F3380">
            <w:pPr>
              <w:pStyle w:val="ListParagraph"/>
              <w:ind w:left="0"/>
              <w:contextualSpacing w:val="0"/>
              <w:rPr>
                <w:sz w:val="18"/>
                <w:szCs w:val="18"/>
                <w:lang w:val="en-US"/>
              </w:rPr>
            </w:pPr>
            <w:r w:rsidRPr="00921944">
              <w:rPr>
                <w:sz w:val="18"/>
                <w:szCs w:val="18"/>
                <w:lang w:val="en-US"/>
              </w:rPr>
              <w:t>3</w:t>
            </w:r>
            <w:r w:rsidR="00812878">
              <w:rPr>
                <w:sz w:val="18"/>
                <w:szCs w:val="18"/>
                <w:lang w:val="en-US"/>
              </w:rPr>
              <w:t>3</w:t>
            </w:r>
            <w:r w:rsidRPr="00921944">
              <w:rPr>
                <w:sz w:val="18"/>
                <w:szCs w:val="18"/>
                <w:lang w:val="en-US"/>
              </w:rPr>
              <w:t>.</w:t>
            </w:r>
          </w:p>
        </w:tc>
        <w:tc>
          <w:tcPr>
            <w:tcW w:w="3115" w:type="dxa"/>
            <w:shd w:val="clear" w:color="auto" w:fill="FFFFFF" w:themeFill="background1"/>
          </w:tcPr>
          <w:p w14:paraId="640495A1"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rPr>
            </w:pPr>
            <w:r w:rsidRPr="00921944">
              <w:rPr>
                <w:b/>
                <w:bCs/>
                <w:sz w:val="18"/>
                <w:szCs w:val="18"/>
              </w:rPr>
              <w:t>Project Geri Feasibility Study</w:t>
            </w:r>
          </w:p>
          <w:p w14:paraId="51FDCA5A" w14:textId="5029799A" w:rsidR="009F3380" w:rsidRDefault="009F3380" w:rsidP="009F3380">
            <w:pPr>
              <w:spacing w:before="240" w:after="12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BP Australia, in combination with GHD Advisory, are conducting a feasibility study detailing a techno-economic evaluation of a pilot and commercial scale renewable ammonia plant in Geraldton, Western Australia.</w:t>
            </w:r>
            <w:r w:rsidRPr="00921944">
              <w:rPr>
                <w:sz w:val="18"/>
                <w:szCs w:val="18"/>
                <w:lang w:val="en-US"/>
              </w:rPr>
              <w:fldChar w:fldCharType="begin" w:fldLock="1"/>
            </w:r>
            <w:r w:rsidR="00D21B34">
              <w:rPr>
                <w:sz w:val="18"/>
                <w:szCs w:val="18"/>
                <w:lang w:val="en-US"/>
              </w:rPr>
              <w:instrText>ADDIN CSL_CITATION {"citationItems":[{"id":"ITEM-1","itemData":{"id":"ITEM-1","issued":{"date-parts":[["0"]]},"title":"Project GERI Feasibility Study - Australian Renewable Energy Agency (ARENA)","type":"webpage"},"uris":["http://www.mendeley.com/documents/?uuid=2811ec1c-36f8-32c1-bc72-3216e432ab1b","http://www.mendeley.com/documents/?uuid=b16e3ecb-c7d2-418e-aaf4-d3d8cc5fb52f","http://www.mendeley.com/documents/?uuid=073ab937-a292-4eed-a68e-f8f0437389ff"]}],"mendeley":{"formattedCitation":"&lt;sup&gt;72&lt;/sup&gt;","plainTextFormattedCitation":"72","previouslyFormattedCitation":"&lt;sup&gt;72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72</w:t>
            </w:r>
            <w:r w:rsidRPr="00921944">
              <w:rPr>
                <w:sz w:val="18"/>
                <w:szCs w:val="18"/>
                <w:lang w:val="en-US"/>
              </w:rPr>
              <w:fldChar w:fldCharType="end"/>
            </w:r>
            <w:r w:rsidRPr="00921944">
              <w:rPr>
                <w:sz w:val="18"/>
                <w:szCs w:val="18"/>
                <w:lang w:val="en-US"/>
              </w:rPr>
              <w:t xml:space="preserve"> </w:t>
            </w:r>
          </w:p>
          <w:p w14:paraId="674AECD3" w14:textId="25441C6D" w:rsidR="009F3380" w:rsidRDefault="009F3380" w:rsidP="009F3380">
            <w:pPr>
              <w:spacing w:before="240" w:after="12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The study</w:t>
            </w:r>
            <w:r w:rsidRPr="00921944">
              <w:rPr>
                <w:sz w:val="18"/>
                <w:szCs w:val="18"/>
                <w:lang w:val="en-US"/>
              </w:rPr>
              <w:t xml:space="preserve"> will evaluate different technologies for a pilot plant creating 20 </w:t>
            </w:r>
            <w:proofErr w:type="spellStart"/>
            <w:r w:rsidRPr="00921944">
              <w:rPr>
                <w:sz w:val="18"/>
                <w:szCs w:val="18"/>
                <w:lang w:val="en-US"/>
              </w:rPr>
              <w:t>ktpa</w:t>
            </w:r>
            <w:proofErr w:type="spellEnd"/>
            <w:r w:rsidRPr="00921944">
              <w:rPr>
                <w:sz w:val="18"/>
                <w:szCs w:val="18"/>
                <w:lang w:val="en-US"/>
              </w:rPr>
              <w:t xml:space="preserve"> of green ammonia and a commercial plant of 1000 </w:t>
            </w:r>
            <w:proofErr w:type="spellStart"/>
            <w:r w:rsidRPr="00921944">
              <w:rPr>
                <w:sz w:val="18"/>
                <w:szCs w:val="18"/>
                <w:lang w:val="en-US"/>
              </w:rPr>
              <w:t>ktpa</w:t>
            </w:r>
            <w:proofErr w:type="spellEnd"/>
            <w:proofErr w:type="gramStart"/>
            <w:r>
              <w:rPr>
                <w:sz w:val="18"/>
                <w:szCs w:val="18"/>
                <w:lang w:val="en-US"/>
              </w:rPr>
              <w:t>.</w:t>
            </w:r>
            <w:r w:rsidRPr="00921944">
              <w:rPr>
                <w:sz w:val="18"/>
                <w:szCs w:val="18"/>
                <w:lang w:val="en-US"/>
              </w:rPr>
              <w:t xml:space="preserve"> </w:t>
            </w:r>
            <w:r>
              <w:rPr>
                <w:sz w:val="18"/>
                <w:szCs w:val="18"/>
                <w:lang w:val="en-US"/>
              </w:rPr>
              <w:t>.</w:t>
            </w:r>
            <w:proofErr w:type="gramEnd"/>
          </w:p>
          <w:p w14:paraId="1EED218C" w14:textId="5394B082" w:rsidR="009F3380" w:rsidRPr="00921944" w:rsidRDefault="009F3380" w:rsidP="009F3380">
            <w:pPr>
              <w:spacing w:before="240" w:after="120"/>
              <w:cnfStyle w:val="000000010000" w:firstRow="0" w:lastRow="0" w:firstColumn="0" w:lastColumn="0" w:oddVBand="0" w:evenVBand="0" w:oddHBand="0" w:evenHBand="1" w:firstRowFirstColumn="0" w:firstRowLastColumn="0" w:lastRowFirstColumn="0" w:lastRowLastColumn="0"/>
              <w:rPr>
                <w:sz w:val="18"/>
                <w:szCs w:val="18"/>
                <w:lang w:val="en-US"/>
              </w:rPr>
            </w:pPr>
            <w:r>
              <w:rPr>
                <w:sz w:val="18"/>
                <w:szCs w:val="18"/>
                <w:lang w:val="en-US"/>
              </w:rPr>
              <w:t xml:space="preserve">The study was granted </w:t>
            </w:r>
            <w:r w:rsidRPr="00921944">
              <w:rPr>
                <w:sz w:val="18"/>
                <w:szCs w:val="18"/>
                <w:lang w:val="en-US"/>
              </w:rPr>
              <w:t xml:space="preserve">with </w:t>
            </w:r>
            <w:r>
              <w:rPr>
                <w:sz w:val="18"/>
                <w:szCs w:val="18"/>
                <w:lang w:val="en-US"/>
              </w:rPr>
              <w:t>A</w:t>
            </w:r>
            <w:r w:rsidRPr="00921944">
              <w:rPr>
                <w:sz w:val="18"/>
                <w:szCs w:val="18"/>
                <w:lang w:val="en-US"/>
              </w:rPr>
              <w:t>$2.7 million BP funding and $1.7 million ARENA funding, commencing April 2020.</w:t>
            </w:r>
            <w:r w:rsidRPr="00921944">
              <w:rPr>
                <w:sz w:val="18"/>
                <w:szCs w:val="18"/>
                <w:lang w:val="en-US"/>
              </w:rPr>
              <w:fldChar w:fldCharType="begin" w:fldLock="1"/>
            </w:r>
            <w:r w:rsidR="00D21B34">
              <w:rPr>
                <w:sz w:val="18"/>
                <w:szCs w:val="18"/>
                <w:lang w:val="en-US"/>
              </w:rPr>
              <w:instrText>ADDIN CSL_CITATION {"citationItems":[{"id":"ITEM-1","itemData":{"URL":"https://www.bp.com/en_au/australia/home/who-we-are/sustainability/low-carbon-projects/feasibility-study-renewable-hydrogen-production-facility.html","author":[{"dropping-particle":"","family":"BP","given":"","non-dropping-particle":"","parse-names":false,"suffix":""}],"container-title":"Press Releases","id":"ITEM-1","issued":{"date-parts":[["2020"]]},"title":"bp Australia announces feasibility study into hydrogen energy production facility","type":"webpage"},"uris":["http://www.mendeley.com/documents/?uuid=b92e240e-9df0-3344-8a17-aba046984638","http://www.mendeley.com/documents/?uuid=b5625433-2919-4238-aa0d-07a4e9cc39d2","http://www.mendeley.com/documents/?uuid=a88ce947-628c-4392-a766-b4cbaf50fb85"]}],"mendeley":{"formattedCitation":"&lt;sup&gt;73&lt;/sup&gt;","plainTextFormattedCitation":"73","previouslyFormattedCitation":"&lt;sup&gt;73&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73</w:t>
            </w:r>
            <w:r w:rsidRPr="00921944">
              <w:rPr>
                <w:sz w:val="18"/>
                <w:szCs w:val="18"/>
                <w:lang w:val="en-US"/>
              </w:rPr>
              <w:fldChar w:fldCharType="end"/>
            </w:r>
          </w:p>
        </w:tc>
        <w:tc>
          <w:tcPr>
            <w:tcW w:w="1620" w:type="dxa"/>
            <w:gridSpan w:val="2"/>
            <w:shd w:val="clear" w:color="auto" w:fill="FFFFFF" w:themeFill="background1"/>
          </w:tcPr>
          <w:p w14:paraId="0A2CCC75"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Geraldton,</w:t>
            </w:r>
          </w:p>
          <w:p w14:paraId="73AC5AC0"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lang w:val="en-US"/>
              </w:rPr>
              <w:t>WA</w:t>
            </w:r>
          </w:p>
        </w:tc>
        <w:tc>
          <w:tcPr>
            <w:tcW w:w="2059" w:type="dxa"/>
            <w:gridSpan w:val="2"/>
            <w:shd w:val="clear" w:color="auto" w:fill="FFFFFF" w:themeFill="background1"/>
          </w:tcPr>
          <w:p w14:paraId="36226512" w14:textId="34A9E800"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20</w:t>
            </w:r>
            <w:r>
              <w:rPr>
                <w:sz w:val="18"/>
                <w:szCs w:val="18"/>
                <w:lang w:val="en-US"/>
              </w:rPr>
              <w:t xml:space="preserve"> </w:t>
            </w:r>
            <w:proofErr w:type="spellStart"/>
            <w:r w:rsidRPr="00921944">
              <w:rPr>
                <w:sz w:val="18"/>
                <w:szCs w:val="18"/>
                <w:lang w:val="en-US"/>
              </w:rPr>
              <w:t>ktpa</w:t>
            </w:r>
            <w:proofErr w:type="spellEnd"/>
            <w:r w:rsidRPr="00921944">
              <w:rPr>
                <w:sz w:val="18"/>
                <w:szCs w:val="18"/>
                <w:lang w:val="en-US"/>
              </w:rPr>
              <w:t xml:space="preserve"> of Ammonia</w:t>
            </w:r>
          </w:p>
        </w:tc>
        <w:tc>
          <w:tcPr>
            <w:tcW w:w="2064" w:type="dxa"/>
            <w:gridSpan w:val="2"/>
            <w:shd w:val="clear" w:color="auto" w:fill="FFFFFF" w:themeFill="background1"/>
          </w:tcPr>
          <w:p w14:paraId="608C3DFA"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Feasibility Study</w:t>
            </w:r>
          </w:p>
          <w:p w14:paraId="7F3282DF" w14:textId="77777777"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(Commercial Plant)</w:t>
            </w:r>
          </w:p>
        </w:tc>
        <w:tc>
          <w:tcPr>
            <w:tcW w:w="1426" w:type="dxa"/>
            <w:gridSpan w:val="2"/>
            <w:shd w:val="clear" w:color="auto" w:fill="FFFFFF" w:themeFill="background1"/>
          </w:tcPr>
          <w:p w14:paraId="4FD3AA29" w14:textId="68E951BA"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77E739C2" wp14:editId="19A920B5">
                  <wp:extent cx="461882" cy="477078"/>
                  <wp:effectExtent l="0" t="0" r="0" b="0"/>
                  <wp:docPr id="180" name="Picture 1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shd w:val="clear" w:color="auto" w:fill="FFFFFF" w:themeFill="background1"/>
          </w:tcPr>
          <w:p w14:paraId="0633B832" w14:textId="16061A70" w:rsidR="009F3380" w:rsidRPr="00921944"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183515F7" wp14:editId="414006D2">
                  <wp:extent cx="461882" cy="477078"/>
                  <wp:effectExtent l="0" t="0" r="0" b="0"/>
                  <wp:docPr id="181" name="Picture 1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shd w:val="clear" w:color="auto" w:fill="FFFFFF" w:themeFill="background1"/>
          </w:tcPr>
          <w:p w14:paraId="092E0CB7" w14:textId="03460461"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noProof/>
                <w:sz w:val="18"/>
                <w:szCs w:val="18"/>
                <w:lang w:val="en-US"/>
              </w:rPr>
              <w:t>Feasibility Study i</w:t>
            </w:r>
            <w:r w:rsidRPr="00921944">
              <w:rPr>
                <w:noProof/>
                <w:sz w:val="18"/>
                <w:szCs w:val="18"/>
                <w:lang w:val="en-US"/>
              </w:rPr>
              <w:t>n Progress</w:t>
            </w:r>
            <w:r>
              <w:rPr>
                <w:noProof/>
                <w:sz w:val="18"/>
                <w:szCs w:val="18"/>
                <w:lang w:val="en-US"/>
              </w:rPr>
              <w:t xml:space="preserve"> </w:t>
            </w:r>
          </w:p>
        </w:tc>
      </w:tr>
      <w:tr w:rsidR="009F3380" w:rsidRPr="00921944" w14:paraId="321F9028"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16BB2829" w14:textId="74DFC366" w:rsidR="009F3380" w:rsidRPr="00921944" w:rsidRDefault="009F3380" w:rsidP="009F3380">
            <w:pPr>
              <w:pStyle w:val="ListParagraph"/>
              <w:ind w:left="0"/>
              <w:contextualSpacing w:val="0"/>
              <w:rPr>
                <w:sz w:val="18"/>
                <w:szCs w:val="18"/>
                <w:lang w:val="en-US"/>
              </w:rPr>
            </w:pPr>
            <w:r w:rsidRPr="00921944">
              <w:rPr>
                <w:sz w:val="18"/>
                <w:szCs w:val="18"/>
                <w:lang w:val="en-US"/>
              </w:rPr>
              <w:t>3</w:t>
            </w:r>
            <w:r w:rsidR="00812878">
              <w:rPr>
                <w:sz w:val="18"/>
                <w:szCs w:val="18"/>
                <w:lang w:val="en-US"/>
              </w:rPr>
              <w:t>4</w:t>
            </w:r>
            <w:r w:rsidRPr="00921944">
              <w:rPr>
                <w:sz w:val="18"/>
                <w:szCs w:val="18"/>
                <w:lang w:val="en-US"/>
              </w:rPr>
              <w:t>.</w:t>
            </w:r>
          </w:p>
        </w:tc>
        <w:tc>
          <w:tcPr>
            <w:tcW w:w="3115" w:type="dxa"/>
          </w:tcPr>
          <w:p w14:paraId="2500641E"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Murchison Renewable Hydrogen Project</w:t>
            </w:r>
          </w:p>
          <w:p w14:paraId="505B59ED" w14:textId="77777777" w:rsidR="009F3380"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Murchison Renewable Hydrogen project has been proposed by Hydrogen Renewables Australia. </w:t>
            </w:r>
          </w:p>
          <w:p w14:paraId="1A9C603D" w14:textId="131643C7" w:rsidR="009F3380"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proposed project includes developing </w:t>
            </w:r>
            <w:r>
              <w:rPr>
                <w:sz w:val="18"/>
                <w:szCs w:val="18"/>
                <w:lang w:val="en-US"/>
              </w:rPr>
              <w:t>electrolyser</w:t>
            </w:r>
            <w:r w:rsidRPr="00921944">
              <w:rPr>
                <w:sz w:val="18"/>
                <w:szCs w:val="18"/>
                <w:lang w:val="en-US"/>
              </w:rPr>
              <w:t xml:space="preserve"> systems with a desalination unit </w:t>
            </w:r>
            <w:r>
              <w:rPr>
                <w:sz w:val="18"/>
                <w:szCs w:val="18"/>
                <w:lang w:val="en-US"/>
              </w:rPr>
              <w:t xml:space="preserve">that will be powered using a </w:t>
            </w:r>
            <w:r w:rsidRPr="00921944">
              <w:rPr>
                <w:sz w:val="18"/>
                <w:szCs w:val="18"/>
                <w:lang w:val="en-US"/>
              </w:rPr>
              <w:t xml:space="preserve">5 GW solar and wind </w:t>
            </w:r>
            <w:r>
              <w:rPr>
                <w:sz w:val="18"/>
                <w:szCs w:val="18"/>
                <w:lang w:val="en-US"/>
              </w:rPr>
              <w:t>farm</w:t>
            </w:r>
            <w:r w:rsidRPr="00921944">
              <w:rPr>
                <w:sz w:val="18"/>
                <w:szCs w:val="18"/>
                <w:lang w:val="en-US"/>
              </w:rPr>
              <w:t xml:space="preserve"> to generate hydrogen for local use</w:t>
            </w:r>
            <w:r>
              <w:rPr>
                <w:sz w:val="18"/>
                <w:szCs w:val="18"/>
                <w:lang w:val="en-US"/>
              </w:rPr>
              <w:t xml:space="preserve"> and export</w:t>
            </w:r>
            <w:r w:rsidRPr="00921944">
              <w:rPr>
                <w:sz w:val="18"/>
                <w:szCs w:val="18"/>
                <w:lang w:val="en-US"/>
              </w:rPr>
              <w:t>.</w:t>
            </w:r>
            <w:r w:rsidRPr="00921944">
              <w:rPr>
                <w:sz w:val="18"/>
                <w:szCs w:val="18"/>
                <w:lang w:val="en-US"/>
              </w:rPr>
              <w:fldChar w:fldCharType="begin" w:fldLock="1"/>
            </w:r>
            <w:r w:rsidR="00D21B34">
              <w:rPr>
                <w:sz w:val="18"/>
                <w:szCs w:val="18"/>
                <w:lang w:val="en-US"/>
              </w:rPr>
              <w:instrText>ADDIN CSL_CITATION {"citationItems":[{"id":"ITEM-1","itemData":{"URL":"https://new.siemens.com/au/en/company/press-centre/2019/murchison-renewable-hydrogen-project.html","accessed":{"date-parts":[["2021","3","29"]]},"author":[{"dropping-particle":"","family":"Siemens Australia","given":"","non-dropping-particle":"","parse-names":false,"suffix":""}],"container-title":"Press Release","id":"ITEM-1","issued":{"date-parts":[["2019","10","8"]]},"title":"Murchison Renewable Hydrogen Project","type":"webpage"},"uris":["http://www.mendeley.com/documents/?uuid=90bc99a0-ded2-3b9d-86f6-c39ae17793f7"]}],"mendeley":{"formattedCitation":"&lt;sup&gt;74&lt;/sup&gt;","plainTextFormattedCitation":"74","previouslyFormattedCitation":"&lt;sup&gt;74&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74</w:t>
            </w:r>
            <w:r w:rsidRPr="00921944">
              <w:rPr>
                <w:sz w:val="18"/>
                <w:szCs w:val="18"/>
                <w:lang w:val="en-US"/>
              </w:rPr>
              <w:fldChar w:fldCharType="end"/>
            </w:r>
            <w:r w:rsidRPr="00921944">
              <w:rPr>
                <w:sz w:val="18"/>
                <w:szCs w:val="18"/>
                <w:lang w:val="en-US"/>
              </w:rPr>
              <w:t xml:space="preserve"> The </w:t>
            </w:r>
            <w:r>
              <w:rPr>
                <w:sz w:val="18"/>
                <w:szCs w:val="18"/>
                <w:lang w:val="en-US"/>
              </w:rPr>
              <w:t>electrolyser</w:t>
            </w:r>
            <w:r w:rsidRPr="00921944">
              <w:rPr>
                <w:sz w:val="18"/>
                <w:szCs w:val="18"/>
                <w:lang w:val="en-US"/>
              </w:rPr>
              <w:t xml:space="preserve"> for the project will be provided by Siemens. </w:t>
            </w:r>
          </w:p>
          <w:p w14:paraId="1B0DA7B8" w14:textId="2E6B09FB" w:rsidR="009F3380" w:rsidRPr="00921944"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Recently, Copenhagen Infrastructure Partners have joined </w:t>
            </w:r>
            <w:r w:rsidRPr="00921944">
              <w:rPr>
                <w:sz w:val="18"/>
                <w:szCs w:val="18"/>
                <w:lang w:val="en-US"/>
              </w:rPr>
              <w:lastRenderedPageBreak/>
              <w:t>the project as a secondary investor.</w:t>
            </w:r>
            <w:r w:rsidRPr="00921944">
              <w:rPr>
                <w:sz w:val="18"/>
                <w:szCs w:val="18"/>
                <w:lang w:val="en-US"/>
              </w:rPr>
              <w:fldChar w:fldCharType="begin" w:fldLock="1"/>
            </w:r>
            <w:r w:rsidR="00D21B34">
              <w:rPr>
                <w:sz w:val="18"/>
                <w:szCs w:val="18"/>
                <w:lang w:val="en-US"/>
              </w:rPr>
              <w:instrText>ADDIN CSL_CITATION {"citationItems":[{"id":"ITEM-1","itemData":{"author":[{"dropping-particle":"","family":"Hydrogen Renewables Australia","given":"","non-dropping-particle":"","parse-names":false,"suffix":""}],"container-title":"Media Release","id":"ITEM-1","issued":{"date-parts":[["2020"]]},"title":"Hydrogen Renewables Australia and Copenhagen Infrastructure Partners announce partnership on the Murchison Renewable Hydrogen Project","type":"article-magazine"},"uris":["http://www.mendeley.com/documents/?uuid=5f6ab952-9b3d-42aa-8c9e-a12e02bdf28d"]}],"mendeley":{"formattedCitation":"&lt;sup&gt;75&lt;/sup&gt;","plainTextFormattedCitation":"75","previouslyFormattedCitation":"&lt;sup&gt;75&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75</w:t>
            </w:r>
            <w:r w:rsidRPr="00921944">
              <w:rPr>
                <w:sz w:val="18"/>
                <w:szCs w:val="18"/>
                <w:lang w:val="en-US"/>
              </w:rPr>
              <w:fldChar w:fldCharType="end"/>
            </w:r>
          </w:p>
        </w:tc>
        <w:tc>
          <w:tcPr>
            <w:tcW w:w="1620" w:type="dxa"/>
            <w:gridSpan w:val="2"/>
          </w:tcPr>
          <w:p w14:paraId="75E808FE"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lastRenderedPageBreak/>
              <w:t>Kalbarri,</w:t>
            </w:r>
          </w:p>
          <w:p w14:paraId="61ADFF98"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rPr>
            </w:pPr>
            <w:r w:rsidRPr="00921944">
              <w:rPr>
                <w:sz w:val="18"/>
                <w:szCs w:val="18"/>
              </w:rPr>
              <w:t>WA</w:t>
            </w:r>
          </w:p>
        </w:tc>
        <w:tc>
          <w:tcPr>
            <w:tcW w:w="2059" w:type="dxa"/>
            <w:gridSpan w:val="2"/>
          </w:tcPr>
          <w:p w14:paraId="6B3345DB"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 A</w:t>
            </w:r>
          </w:p>
        </w:tc>
        <w:tc>
          <w:tcPr>
            <w:tcW w:w="2064" w:type="dxa"/>
            <w:gridSpan w:val="2"/>
          </w:tcPr>
          <w:p w14:paraId="290BC205"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Prefeasibility </w:t>
            </w:r>
          </w:p>
          <w:p w14:paraId="431EFD2D"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(Commercial Plant)</w:t>
            </w:r>
          </w:p>
        </w:tc>
        <w:tc>
          <w:tcPr>
            <w:tcW w:w="1426" w:type="dxa"/>
            <w:gridSpan w:val="2"/>
          </w:tcPr>
          <w:p w14:paraId="16E38C81" w14:textId="2947ED1A"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3AB63857" wp14:editId="5B682835">
                  <wp:extent cx="461882" cy="477078"/>
                  <wp:effectExtent l="0" t="0" r="0" b="0"/>
                  <wp:docPr id="124" name="Picture 1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3291EC95" w14:textId="24DBA42E"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19364F68" wp14:editId="53910253">
                  <wp:extent cx="461882" cy="477078"/>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tcPr>
          <w:p w14:paraId="232DE10E" w14:textId="56FB0CD9"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project is in</w:t>
            </w:r>
            <w:r>
              <w:rPr>
                <w:sz w:val="18"/>
                <w:szCs w:val="18"/>
                <w:lang w:val="en-US"/>
              </w:rPr>
              <w:t xml:space="preserve"> an</w:t>
            </w:r>
            <w:r w:rsidRPr="00921944">
              <w:rPr>
                <w:sz w:val="18"/>
                <w:szCs w:val="18"/>
                <w:lang w:val="en-US"/>
              </w:rPr>
              <w:t xml:space="preserve"> early stage of development. </w:t>
            </w:r>
          </w:p>
        </w:tc>
      </w:tr>
      <w:tr w:rsidR="009F3380" w:rsidRPr="00921944" w14:paraId="455F73B3" w14:textId="77777777" w:rsidTr="008214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5A2C6B16" w14:textId="5EDDF4F5" w:rsidR="009F3380" w:rsidRPr="00921944" w:rsidRDefault="009F3380" w:rsidP="009F3380">
            <w:pPr>
              <w:pStyle w:val="ListParagraph"/>
              <w:ind w:left="0"/>
              <w:contextualSpacing w:val="0"/>
              <w:rPr>
                <w:sz w:val="18"/>
                <w:szCs w:val="18"/>
                <w:lang w:val="en-US"/>
              </w:rPr>
            </w:pPr>
            <w:r w:rsidRPr="00921944">
              <w:rPr>
                <w:sz w:val="18"/>
                <w:szCs w:val="18"/>
                <w:lang w:val="en-US"/>
              </w:rPr>
              <w:t>3</w:t>
            </w:r>
            <w:r>
              <w:rPr>
                <w:sz w:val="18"/>
                <w:szCs w:val="18"/>
                <w:lang w:val="en-US"/>
              </w:rPr>
              <w:t>4</w:t>
            </w:r>
            <w:r w:rsidRPr="00921944">
              <w:rPr>
                <w:sz w:val="18"/>
                <w:szCs w:val="18"/>
                <w:lang w:val="en-US"/>
              </w:rPr>
              <w:t>.</w:t>
            </w:r>
          </w:p>
        </w:tc>
        <w:tc>
          <w:tcPr>
            <w:tcW w:w="3115" w:type="dxa"/>
            <w:shd w:val="clear" w:color="auto" w:fill="FFFFFF" w:themeFill="background1"/>
          </w:tcPr>
          <w:p w14:paraId="7DE555E0" w14:textId="77777777" w:rsidR="009F3380" w:rsidRPr="00921944" w:rsidRDefault="009F3380" w:rsidP="009F3380">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Denham Hydrogen Demonstration Plant</w:t>
            </w:r>
          </w:p>
          <w:p w14:paraId="621C78A5" w14:textId="77777777" w:rsidR="009F3380" w:rsidRDefault="009F3380" w:rsidP="009F3380">
            <w:pPr>
              <w:pStyle w:val="ListParagraph"/>
              <w:keepNext/>
              <w:widowControl w:val="0"/>
              <w:spacing w:before="240" w:after="120"/>
              <w:ind w:left="0" w:right="119"/>
              <w:contextualSpacing w:val="0"/>
              <w:jc w:val="both"/>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The Denham project is being developed by Horizon Power (a Western Australian Government backed company) a</w:t>
            </w:r>
            <w:r>
              <w:rPr>
                <w:sz w:val="18"/>
                <w:szCs w:val="18"/>
                <w:lang w:val="en-US"/>
              </w:rPr>
              <w:t xml:space="preserve">s </w:t>
            </w:r>
            <w:r w:rsidRPr="00921944">
              <w:rPr>
                <w:sz w:val="18"/>
                <w:szCs w:val="18"/>
                <w:lang w:val="en-US"/>
              </w:rPr>
              <w:t>a remote power generation system.</w:t>
            </w:r>
            <w:r>
              <w:rPr>
                <w:sz w:val="18"/>
                <w:szCs w:val="18"/>
                <w:lang w:val="en-US"/>
              </w:rPr>
              <w:t xml:space="preserve"> The hydrogen based microgrid project will include a </w:t>
            </w:r>
            <w:proofErr w:type="gramStart"/>
            <w:r>
              <w:rPr>
                <w:sz w:val="18"/>
                <w:szCs w:val="18"/>
                <w:lang w:val="en-US"/>
              </w:rPr>
              <w:t>704 kW</w:t>
            </w:r>
            <w:proofErr w:type="gramEnd"/>
            <w:r>
              <w:rPr>
                <w:sz w:val="18"/>
                <w:szCs w:val="18"/>
                <w:lang w:val="en-US"/>
              </w:rPr>
              <w:t xml:space="preserve"> solar farm, a 348 kW electrolyser and a 100 kW fuel cell. </w:t>
            </w:r>
          </w:p>
          <w:p w14:paraId="7515184F" w14:textId="70481B6F" w:rsidR="009F3380" w:rsidRPr="00921944" w:rsidRDefault="009F3380" w:rsidP="0082149E">
            <w:pPr>
              <w:pStyle w:val="ListParagraph"/>
              <w:spacing w:after="120"/>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Pr>
                <w:sz w:val="18"/>
                <w:szCs w:val="18"/>
                <w:lang w:val="en-US"/>
              </w:rPr>
              <w:t>The system is expected to deliver 526 MWh of renewable energy every year to 100 residents. The project has received A$2.6 million in funding from ARENA (Advancing Renewables Program), A$5.7 million from WA government (WA Recovery Plan) and A$1 million through the WA Renewable Hydrogen Fund.</w:t>
            </w:r>
            <w:r w:rsidRPr="00921944">
              <w:rPr>
                <w:sz w:val="18"/>
                <w:szCs w:val="18"/>
                <w:lang w:val="en-US"/>
              </w:rPr>
              <w:fldChar w:fldCharType="begin" w:fldLock="1"/>
            </w:r>
            <w:r w:rsidR="00D21B34">
              <w:rPr>
                <w:sz w:val="18"/>
                <w:szCs w:val="18"/>
                <w:lang w:val="en-US"/>
              </w:rPr>
              <w:instrText>ADDIN CSL_CITATION {"citationItems":[{"id":"ITEM-1","itemData":{"URL":"https://arena.gov.au/projects/horizon-power-denham-hydrogen-demonstration/","accessed":{"date-parts":[["2021","4","19"]]},"author":[{"dropping-particle":"","family":"Australian Renewable Energy Agency","given":"","non-dropping-particle":"","parse-names":false,"suffix":""}],"container-title":"Projects","id":"ITEM-1","issued":{"date-parts":[["2020","4"]]},"title":"Horizon Power Denham Hydrogen Demonstration","type":"webpage"},"uris":["http://www.mendeley.com/documents/?uuid=236a424c-0340-3f78-ae43-120a29cf756b"]},{"id":"ITEM-2","itemData":{"URL":"https://fuelcellsworks.com/news/gascoyne-community-hydrogen-project-gets-off-the-ground-in-denham-australia/","accessed":{"date-parts":[["2021","7","15"]]},"container-title":"Fuel Cells Works","id":"ITEM-2","issued":{"date-parts":[["2021","5","7"]]},"title":"Gascoyne Community Hydrogen Project Gets Off The Ground In Denham Australia","type":"webpage"},"uris":["http://www.mendeley.com/documents/?uuid=05680235-3c45-340d-b552-e68a28784664"]}],"mendeley":{"formattedCitation":"&lt;sup&gt;76,77&lt;/sup&gt;","plainTextFormattedCitation":"76,77","previouslyFormattedCitation":"&lt;sup&gt;76,77&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76,77</w:t>
            </w:r>
            <w:r w:rsidRPr="00921944">
              <w:rPr>
                <w:sz w:val="18"/>
                <w:szCs w:val="18"/>
                <w:lang w:val="en-US"/>
              </w:rPr>
              <w:fldChar w:fldCharType="end"/>
            </w:r>
          </w:p>
        </w:tc>
        <w:tc>
          <w:tcPr>
            <w:tcW w:w="1620" w:type="dxa"/>
            <w:gridSpan w:val="2"/>
            <w:shd w:val="clear" w:color="auto" w:fill="FFFFFF" w:themeFill="background1"/>
          </w:tcPr>
          <w:p w14:paraId="23754839" w14:textId="77777777" w:rsidR="009F3380" w:rsidRPr="00921944" w:rsidRDefault="009F3380" w:rsidP="009F3380">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Denham,</w:t>
            </w:r>
          </w:p>
          <w:p w14:paraId="45528F6D" w14:textId="65607910"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rPr>
            </w:pPr>
            <w:r w:rsidRPr="00921944">
              <w:rPr>
                <w:sz w:val="18"/>
                <w:szCs w:val="18"/>
              </w:rPr>
              <w:t>WA</w:t>
            </w:r>
          </w:p>
        </w:tc>
        <w:tc>
          <w:tcPr>
            <w:tcW w:w="2059" w:type="dxa"/>
            <w:gridSpan w:val="2"/>
            <w:shd w:val="clear" w:color="auto" w:fill="FFFFFF" w:themeFill="background1"/>
          </w:tcPr>
          <w:p w14:paraId="41114A28" w14:textId="77777777" w:rsidR="009F3380" w:rsidRPr="00921944" w:rsidRDefault="009F3380" w:rsidP="009F3380">
            <w:pPr>
              <w:pStyle w:val="ListParagraph"/>
              <w:keepNext/>
              <w:widowControl w:val="0"/>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 xml:space="preserve">13 </w:t>
            </w:r>
            <w:proofErr w:type="spellStart"/>
            <w:r w:rsidRPr="00921944">
              <w:rPr>
                <w:sz w:val="18"/>
                <w:szCs w:val="18"/>
                <w:lang w:val="en-US"/>
              </w:rPr>
              <w:t>tpa</w:t>
            </w:r>
            <w:proofErr w:type="spellEnd"/>
            <w:r>
              <w:rPr>
                <w:sz w:val="18"/>
                <w:szCs w:val="18"/>
                <w:lang w:val="en-US"/>
              </w:rPr>
              <w:t xml:space="preserve"> of H</w:t>
            </w:r>
            <w:r w:rsidRPr="00CC19C2">
              <w:rPr>
                <w:sz w:val="18"/>
                <w:szCs w:val="18"/>
                <w:vertAlign w:val="subscript"/>
                <w:lang w:val="en-US"/>
              </w:rPr>
              <w:t>2</w:t>
            </w:r>
          </w:p>
          <w:p w14:paraId="0B5524D7" w14:textId="4F56B739"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(3</w:t>
            </w:r>
            <w:r>
              <w:rPr>
                <w:sz w:val="18"/>
                <w:szCs w:val="18"/>
                <w:lang w:val="en-US"/>
              </w:rPr>
              <w:t>48 kW electrolyser</w:t>
            </w:r>
            <w:r w:rsidRPr="00921944">
              <w:rPr>
                <w:sz w:val="18"/>
                <w:szCs w:val="18"/>
                <w:lang w:val="en-US"/>
              </w:rPr>
              <w:t>)</w:t>
            </w:r>
          </w:p>
        </w:tc>
        <w:tc>
          <w:tcPr>
            <w:tcW w:w="2064" w:type="dxa"/>
            <w:gridSpan w:val="2"/>
            <w:shd w:val="clear" w:color="auto" w:fill="FFFFFF" w:themeFill="background1"/>
          </w:tcPr>
          <w:p w14:paraId="5C72F038" w14:textId="4CBFE59D"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Demonstration Facility</w:t>
            </w:r>
          </w:p>
        </w:tc>
        <w:tc>
          <w:tcPr>
            <w:tcW w:w="1426" w:type="dxa"/>
            <w:gridSpan w:val="2"/>
            <w:shd w:val="clear" w:color="auto" w:fill="FFFFFF" w:themeFill="background1"/>
          </w:tcPr>
          <w:p w14:paraId="40768350" w14:textId="78D8A50D" w:rsidR="009F3380"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2A40EEF1" wp14:editId="181B59E9">
                  <wp:extent cx="461882" cy="477078"/>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shd w:val="clear" w:color="auto" w:fill="FFFFFF" w:themeFill="background1"/>
          </w:tcPr>
          <w:p w14:paraId="1D986E47" w14:textId="77777777" w:rsidR="009F3380" w:rsidRDefault="009F3380" w:rsidP="009F3380">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rPr>
            </w:pPr>
          </w:p>
        </w:tc>
        <w:tc>
          <w:tcPr>
            <w:tcW w:w="2873" w:type="dxa"/>
            <w:gridSpan w:val="2"/>
            <w:shd w:val="clear" w:color="auto" w:fill="FFFFFF" w:themeFill="background1"/>
          </w:tcPr>
          <w:p w14:paraId="7BCB67F1" w14:textId="6C55089F" w:rsidR="009F3380" w:rsidRPr="00921944" w:rsidRDefault="009F3380" w:rsidP="009F3380">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Final stages of development (Project commissioning expected by end of 2021)</w:t>
            </w:r>
          </w:p>
        </w:tc>
      </w:tr>
      <w:tr w:rsidR="009F3380" w:rsidRPr="00921944" w14:paraId="7EBA5D53"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5695CA56" w14:textId="3DFF883E" w:rsidR="009F3380" w:rsidRPr="00921944" w:rsidRDefault="009F3380" w:rsidP="009F3380">
            <w:pPr>
              <w:pStyle w:val="ListParagraph"/>
              <w:ind w:left="0"/>
              <w:rPr>
                <w:sz w:val="18"/>
                <w:szCs w:val="18"/>
                <w:lang w:val="en-US"/>
              </w:rPr>
            </w:pPr>
            <w:r w:rsidRPr="00921944">
              <w:rPr>
                <w:sz w:val="18"/>
                <w:szCs w:val="18"/>
                <w:lang w:val="en-US"/>
              </w:rPr>
              <w:t>3</w:t>
            </w:r>
            <w:r>
              <w:rPr>
                <w:sz w:val="18"/>
                <w:szCs w:val="18"/>
                <w:lang w:val="en-US"/>
              </w:rPr>
              <w:t>5</w:t>
            </w:r>
            <w:r w:rsidRPr="00921944">
              <w:rPr>
                <w:sz w:val="18"/>
                <w:szCs w:val="18"/>
                <w:lang w:val="en-US"/>
              </w:rPr>
              <w:t>.</w:t>
            </w:r>
          </w:p>
        </w:tc>
        <w:tc>
          <w:tcPr>
            <w:tcW w:w="3115" w:type="dxa"/>
          </w:tcPr>
          <w:p w14:paraId="4B802B25"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Yuri Green Ammonia Project</w:t>
            </w:r>
          </w:p>
          <w:p w14:paraId="1BA995BD" w14:textId="169F4FCA" w:rsidR="009F3380"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Yara, one of the world’s largest ammonia and </w:t>
            </w:r>
            <w:proofErr w:type="spellStart"/>
            <w:r>
              <w:rPr>
                <w:sz w:val="18"/>
                <w:szCs w:val="18"/>
                <w:lang w:val="en-US"/>
              </w:rPr>
              <w:t>fertiliser</w:t>
            </w:r>
            <w:proofErr w:type="spellEnd"/>
            <w:r>
              <w:rPr>
                <w:sz w:val="18"/>
                <w:szCs w:val="18"/>
                <w:lang w:val="en-US"/>
              </w:rPr>
              <w:t xml:space="preserve"> company, owns and operates the Yara Pilbara </w:t>
            </w:r>
            <w:proofErr w:type="spellStart"/>
            <w:r>
              <w:rPr>
                <w:sz w:val="18"/>
                <w:szCs w:val="18"/>
                <w:lang w:val="en-US"/>
              </w:rPr>
              <w:t>Fertilisers</w:t>
            </w:r>
            <w:proofErr w:type="spellEnd"/>
            <w:r>
              <w:rPr>
                <w:sz w:val="18"/>
                <w:szCs w:val="18"/>
                <w:lang w:val="en-US"/>
              </w:rPr>
              <w:t xml:space="preserve"> facility. The plant generates 850ktpa of liquid ammonia for domestic use and export to Asia. </w:t>
            </w:r>
          </w:p>
          <w:p w14:paraId="487BD8E4" w14:textId="50BB138A" w:rsidR="009F3380"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current facility generates the required hydrogen using Steam Methane Reforming (which has a large environmental footprint). </w:t>
            </w:r>
            <w:r w:rsidRPr="00921944">
              <w:rPr>
                <w:sz w:val="18"/>
                <w:szCs w:val="18"/>
                <w:lang w:val="en-US"/>
              </w:rPr>
              <w:t xml:space="preserve">Yara in combination with ENGIE plan </w:t>
            </w:r>
            <w:r>
              <w:rPr>
                <w:sz w:val="18"/>
                <w:szCs w:val="18"/>
                <w:lang w:val="en-US"/>
              </w:rPr>
              <w:t xml:space="preserve">have conducted a feasibility study (with support of ARENA – A$995K funding) to replace a portion of their SMR based hydrogen production with an </w:t>
            </w:r>
            <w:r>
              <w:rPr>
                <w:sz w:val="18"/>
                <w:szCs w:val="18"/>
                <w:lang w:val="en-US"/>
              </w:rPr>
              <w:lastRenderedPageBreak/>
              <w:t xml:space="preserve">onsite solar PV powered electrolyser as part of a long term aim to replace </w:t>
            </w:r>
            <w:r w:rsidRPr="00921944">
              <w:rPr>
                <w:sz w:val="18"/>
                <w:szCs w:val="18"/>
                <w:lang w:val="en-US"/>
              </w:rPr>
              <w:t>80</w:t>
            </w:r>
            <w:r>
              <w:rPr>
                <w:sz w:val="18"/>
                <w:szCs w:val="18"/>
                <w:lang w:val="en-US"/>
              </w:rPr>
              <w:t xml:space="preserve"> - </w:t>
            </w:r>
            <w:r w:rsidRPr="00921944">
              <w:rPr>
                <w:sz w:val="18"/>
                <w:szCs w:val="18"/>
                <w:lang w:val="en-US"/>
              </w:rPr>
              <w:t xml:space="preserve">100% of the </w:t>
            </w:r>
            <w:r>
              <w:rPr>
                <w:sz w:val="18"/>
                <w:szCs w:val="18"/>
                <w:lang w:val="en-US"/>
              </w:rPr>
              <w:t xml:space="preserve">SMR </w:t>
            </w:r>
            <w:r w:rsidRPr="00921944">
              <w:rPr>
                <w:sz w:val="18"/>
                <w:szCs w:val="18"/>
                <w:lang w:val="en-US"/>
              </w:rPr>
              <w:t>hydrogen supply</w:t>
            </w:r>
            <w:r>
              <w:rPr>
                <w:sz w:val="18"/>
                <w:szCs w:val="18"/>
                <w:lang w:val="en-US"/>
              </w:rPr>
              <w:t xml:space="preserve"> with green </w:t>
            </w:r>
            <w:proofErr w:type="spellStart"/>
            <w:r>
              <w:rPr>
                <w:sz w:val="18"/>
                <w:szCs w:val="18"/>
                <w:lang w:val="en-US"/>
              </w:rPr>
              <w:t>hydorgen</w:t>
            </w:r>
            <w:proofErr w:type="spellEnd"/>
            <w:r w:rsidRPr="00921944">
              <w:rPr>
                <w:sz w:val="18"/>
                <w:szCs w:val="18"/>
                <w:lang w:val="en-US"/>
              </w:rPr>
              <w:t xml:space="preserve"> for ammonia production.</w:t>
            </w:r>
            <w:r w:rsidRPr="00921944">
              <w:rPr>
                <w:sz w:val="18"/>
                <w:szCs w:val="18"/>
                <w:lang w:val="en-US"/>
              </w:rPr>
              <w:fldChar w:fldCharType="begin" w:fldLock="1"/>
            </w:r>
            <w:r w:rsidR="00D21B34">
              <w:rPr>
                <w:sz w:val="18"/>
                <w:szCs w:val="18"/>
                <w:lang w:val="en-US"/>
              </w:rPr>
              <w:instrText>ADDIN CSL_CITATION {"citationItems":[{"id":"ITEM-1","itemData":{"author":[{"dropping-particle":"","family":"Yara","given":"","non-dropping-particle":"","parse-names":false,"suffix":""},{"dropping-particle":"","family":"Engie","given":"","non-dropping-particle":"","parse-names":false,"suffix":""}],"id":"ITEM-1","issued":{"date-parts":[["2020"]]},"title":"ENGIE-YARA Renewable Hydrogen and Ammonia Deployment in Pilbara YURI Phase 0: Feasibility Study Knowledge Sharing Report","type":"report"},"uris":["http://www.mendeley.com/documents/?uuid=2e080ca5-1649-417a-b284-c7d51b689bb8","http://www.mendeley.com/documents/?uuid=43d28cfc-0b97-4198-af7c-bd7eb990b738","http://www.mendeley.com/documents/?uuid=b844fe4e-a7b4-35c3-906c-0c850bef20ab"]}],"mendeley":{"formattedCitation":"&lt;sup&gt;78&lt;/sup&gt;","plainTextFormattedCitation":"78","previouslyFormattedCitation":"&lt;sup&gt;78&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78</w:t>
            </w:r>
            <w:r w:rsidRPr="00921944">
              <w:rPr>
                <w:sz w:val="18"/>
                <w:szCs w:val="18"/>
                <w:lang w:val="en-US"/>
              </w:rPr>
              <w:fldChar w:fldCharType="end"/>
            </w:r>
            <w:r w:rsidRPr="00921944">
              <w:rPr>
                <w:sz w:val="18"/>
                <w:szCs w:val="18"/>
                <w:lang w:val="en-US"/>
              </w:rPr>
              <w:t xml:space="preserve"> </w:t>
            </w:r>
          </w:p>
          <w:p w14:paraId="0472088F" w14:textId="5EE5AD4B" w:rsidR="009F3380"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feasibility study was </w:t>
            </w:r>
            <w:proofErr w:type="spellStart"/>
            <w:r>
              <w:rPr>
                <w:sz w:val="18"/>
                <w:szCs w:val="18"/>
                <w:lang w:val="en-US"/>
              </w:rPr>
              <w:t>was</w:t>
            </w:r>
            <w:proofErr w:type="spellEnd"/>
            <w:r>
              <w:rPr>
                <w:sz w:val="18"/>
                <w:szCs w:val="18"/>
                <w:lang w:val="en-US"/>
              </w:rPr>
              <w:t xml:space="preserve"> completed in 2020, which suggested scale up in stages. Starting with a commercial demonstration plant of 10 MW capacity at a cost of A$70 million.</w:t>
            </w:r>
            <w:r>
              <w:rPr>
                <w:sz w:val="18"/>
                <w:szCs w:val="18"/>
                <w:lang w:val="en-US"/>
              </w:rPr>
              <w:fldChar w:fldCharType="begin" w:fldLock="1"/>
            </w:r>
            <w:r w:rsidR="00D21B34">
              <w:rPr>
                <w:sz w:val="18"/>
                <w:szCs w:val="18"/>
                <w:lang w:val="en-US"/>
              </w:rPr>
              <w:instrText>ADDIN CSL_CITATION {"citationItems":[{"id":"ITEM-1","itemData":{"author":[{"dropping-particle":"","family":"Yara","given":"","non-dropping-particle":"","parse-names":false,"suffix":""},{"dropping-particle":"","family":"Engie","given":"","non-dropping-particle":"","parse-names":false,"suffix":""}],"id":"ITEM-1","issued":{"date-parts":[["2020"]]},"title":"ENGIE-YARA Renewable Hydrogen and Ammonia Deployment in Pilbara YURI Phase 0: Feasibility Study Knowledge Sharing Report","type":"report"},"uris":["http://www.mendeley.com/documents/?uuid=43d28cfc-0b97-4198-af7c-bd7eb990b738"]}],"mendeley":{"formattedCitation":"&lt;sup&gt;78&lt;/sup&gt;","plainTextFormattedCitation":"78","previouslyFormattedCitation":"&lt;sup&gt;78&lt;/sup&gt;"},"properties":{"noteIndex":0},"schema":"https://github.com/citation-style-language/schema/raw/master/csl-citation.json"}</w:instrText>
            </w:r>
            <w:r>
              <w:rPr>
                <w:sz w:val="18"/>
                <w:szCs w:val="18"/>
                <w:lang w:val="en-US"/>
              </w:rPr>
              <w:fldChar w:fldCharType="separate"/>
            </w:r>
            <w:r w:rsidR="00C3381F" w:rsidRPr="00C3381F">
              <w:rPr>
                <w:noProof/>
                <w:sz w:val="18"/>
                <w:szCs w:val="18"/>
                <w:vertAlign w:val="superscript"/>
                <w:lang w:val="en-US"/>
              </w:rPr>
              <w:t>78</w:t>
            </w:r>
            <w:r>
              <w:rPr>
                <w:sz w:val="18"/>
                <w:szCs w:val="18"/>
                <w:lang w:val="en-US"/>
              </w:rPr>
              <w:fldChar w:fldCharType="end"/>
            </w:r>
            <w:r>
              <w:rPr>
                <w:sz w:val="18"/>
                <w:szCs w:val="18"/>
                <w:lang w:val="en-US"/>
              </w:rPr>
              <w:t xml:space="preserve"> The project is still pending a final investment decision (FID), with expectation that the plant can be operational by 2023.</w:t>
            </w:r>
          </w:p>
          <w:p w14:paraId="0F04057C" w14:textId="67E8D069" w:rsidR="009F3380" w:rsidRPr="00921944" w:rsidRDefault="009F3380" w:rsidP="009F3380">
            <w:pPr>
              <w:pStyle w:val="ListParagraph"/>
              <w:spacing w:before="240" w:after="120"/>
              <w:ind w:left="0" w:right="119"/>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project has recently secured </w:t>
            </w:r>
            <w:r>
              <w:rPr>
                <w:sz w:val="18"/>
                <w:szCs w:val="18"/>
                <w:lang w:val="en-US"/>
              </w:rPr>
              <w:t xml:space="preserve">conditional </w:t>
            </w:r>
            <w:r w:rsidRPr="00921944">
              <w:rPr>
                <w:sz w:val="18"/>
                <w:szCs w:val="18"/>
                <w:lang w:val="en-US"/>
              </w:rPr>
              <w:t xml:space="preserve">funding of A$42.5 million through ARENA’s Hydrogen Deployment Fund </w:t>
            </w:r>
            <w:r>
              <w:rPr>
                <w:sz w:val="18"/>
                <w:szCs w:val="18"/>
                <w:lang w:val="en-US"/>
              </w:rPr>
              <w:t>and A$2 million in grant funding through Western Australian Renewable Hydrogen Fund, both subject to the condition of the project reaching an FID.</w:t>
            </w:r>
          </w:p>
        </w:tc>
        <w:tc>
          <w:tcPr>
            <w:tcW w:w="1620" w:type="dxa"/>
            <w:gridSpan w:val="2"/>
          </w:tcPr>
          <w:p w14:paraId="28530DC3"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lastRenderedPageBreak/>
              <w:t xml:space="preserve">Pilbara, </w:t>
            </w:r>
          </w:p>
          <w:p w14:paraId="1543AFA9"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WA</w:t>
            </w:r>
          </w:p>
        </w:tc>
        <w:tc>
          <w:tcPr>
            <w:tcW w:w="2059" w:type="dxa"/>
            <w:gridSpan w:val="2"/>
          </w:tcPr>
          <w:p w14:paraId="2D334FDE"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Demonstration Phase:</w:t>
            </w:r>
          </w:p>
          <w:p w14:paraId="7BBF1017"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vertAlign w:val="subscript"/>
                <w:lang w:val="en-US"/>
              </w:rPr>
            </w:pPr>
            <w:r>
              <w:rPr>
                <w:sz w:val="18"/>
                <w:szCs w:val="18"/>
                <w:lang w:val="en-US"/>
              </w:rPr>
              <w:t xml:space="preserve">625 </w:t>
            </w:r>
            <w:proofErr w:type="spellStart"/>
            <w:r>
              <w:rPr>
                <w:sz w:val="18"/>
                <w:szCs w:val="18"/>
                <w:lang w:val="en-US"/>
              </w:rPr>
              <w:t>tpa</w:t>
            </w:r>
            <w:proofErr w:type="spellEnd"/>
            <w:r>
              <w:rPr>
                <w:sz w:val="18"/>
                <w:szCs w:val="18"/>
                <w:lang w:val="en-US"/>
              </w:rPr>
              <w:t xml:space="preserve"> of H</w:t>
            </w:r>
            <w:r w:rsidRPr="00342EA9">
              <w:rPr>
                <w:sz w:val="18"/>
                <w:szCs w:val="18"/>
                <w:vertAlign w:val="subscript"/>
                <w:lang w:val="en-US"/>
              </w:rPr>
              <w:t>2</w:t>
            </w:r>
          </w:p>
          <w:p w14:paraId="383C65FD" w14:textId="329A8713"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(10 MW electrolyser)</w:t>
            </w:r>
          </w:p>
          <w:p w14:paraId="6D3CA503" w14:textId="4A935E5F"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12984D23" w14:textId="3AE2E413"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Equivalent to </w:t>
            </w:r>
            <w:r w:rsidRPr="00921944">
              <w:rPr>
                <w:sz w:val="18"/>
                <w:szCs w:val="18"/>
                <w:lang w:val="en-US"/>
              </w:rPr>
              <w:t>3.</w:t>
            </w:r>
            <w:r>
              <w:rPr>
                <w:sz w:val="18"/>
                <w:szCs w:val="18"/>
                <w:lang w:val="en-US"/>
              </w:rPr>
              <w:t>5ktpa</w:t>
            </w:r>
            <w:r w:rsidRPr="00921944">
              <w:rPr>
                <w:sz w:val="18"/>
                <w:szCs w:val="18"/>
                <w:lang w:val="en-US"/>
              </w:rPr>
              <w:t xml:space="preserve"> of Ammonia</w:t>
            </w:r>
          </w:p>
          <w:p w14:paraId="520E4726"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60B69440" w14:textId="098F1B12"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64" w:type="dxa"/>
            <w:gridSpan w:val="2"/>
          </w:tcPr>
          <w:p w14:paraId="57623B62"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p w14:paraId="6E8CFA29" w14:textId="7DD550C0"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w:t>
            </w:r>
            <w:r>
              <w:rPr>
                <w:sz w:val="18"/>
                <w:szCs w:val="18"/>
                <w:lang w:val="en-US"/>
              </w:rPr>
              <w:t>Commercial scale pilot project with f</w:t>
            </w:r>
            <w:r w:rsidRPr="00921944">
              <w:rPr>
                <w:sz w:val="18"/>
                <w:szCs w:val="18"/>
                <w:lang w:val="en-US"/>
              </w:rPr>
              <w:t>uture scale up)</w:t>
            </w:r>
          </w:p>
        </w:tc>
        <w:tc>
          <w:tcPr>
            <w:tcW w:w="1426" w:type="dxa"/>
            <w:gridSpan w:val="2"/>
          </w:tcPr>
          <w:p w14:paraId="3165F5C0" w14:textId="5E15BB9F"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172FC434" wp14:editId="3947C566">
                  <wp:extent cx="461882" cy="477078"/>
                  <wp:effectExtent l="0" t="0" r="0" b="0"/>
                  <wp:docPr id="165" name="Picture 1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2F918E28" w14:textId="06850D36"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rPr>
              <w:drawing>
                <wp:inline distT="0" distB="0" distL="0" distR="0" wp14:anchorId="316706F5" wp14:editId="13F79214">
                  <wp:extent cx="461882" cy="477078"/>
                  <wp:effectExtent l="0" t="0" r="0" b="0"/>
                  <wp:docPr id="167" name="Picture 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tcPr>
          <w:p w14:paraId="4C886F98" w14:textId="77777777" w:rsidR="009F3380"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sz w:val="18"/>
                <w:szCs w:val="18"/>
                <w:lang w:val="en-US"/>
              </w:rPr>
              <w:t>On going project development</w:t>
            </w:r>
          </w:p>
          <w:p w14:paraId="7E077257" w14:textId="55A42932"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Pr>
                <w:noProof/>
                <w:sz w:val="18"/>
                <w:szCs w:val="18"/>
                <w:lang w:val="en-US"/>
              </w:rPr>
              <w:t>(FDI pending with expectation of project becoming operational by 2023)</w:t>
            </w:r>
          </w:p>
        </w:tc>
      </w:tr>
      <w:tr w:rsidR="00E615D7" w:rsidRPr="00921944" w14:paraId="3099F4A5" w14:textId="77777777" w:rsidTr="00E615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shd w:val="clear" w:color="auto" w:fill="FFFFFF" w:themeFill="background1"/>
          </w:tcPr>
          <w:p w14:paraId="4A32BD2D" w14:textId="5760E47B" w:rsidR="00E615D7" w:rsidRPr="00921944" w:rsidRDefault="00E615D7" w:rsidP="00E615D7">
            <w:pPr>
              <w:pStyle w:val="ListParagraph"/>
              <w:ind w:left="0"/>
              <w:rPr>
                <w:sz w:val="18"/>
                <w:szCs w:val="18"/>
                <w:lang w:val="en-US"/>
              </w:rPr>
            </w:pPr>
            <w:r>
              <w:rPr>
                <w:sz w:val="18"/>
                <w:szCs w:val="18"/>
                <w:lang w:val="en-US"/>
              </w:rPr>
              <w:t>36.</w:t>
            </w:r>
          </w:p>
        </w:tc>
        <w:tc>
          <w:tcPr>
            <w:tcW w:w="3115" w:type="dxa"/>
            <w:shd w:val="clear" w:color="auto" w:fill="FFFFFF" w:themeFill="background1"/>
          </w:tcPr>
          <w:p w14:paraId="29380624" w14:textId="77777777"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color w:val="auto"/>
                <w:sz w:val="18"/>
                <w:szCs w:val="18"/>
                <w:lang w:val="en-US"/>
              </w:rPr>
            </w:pPr>
            <w:r w:rsidRPr="00921944">
              <w:rPr>
                <w:b/>
                <w:bCs/>
                <w:color w:val="auto"/>
                <w:sz w:val="18"/>
                <w:szCs w:val="18"/>
                <w:lang w:val="en-US"/>
              </w:rPr>
              <w:t>Asian Renewable Energy Hub</w:t>
            </w:r>
          </w:p>
          <w:p w14:paraId="65505A8F" w14:textId="2ADA5F81" w:rsidR="00E615D7" w:rsidRDefault="00E615D7" w:rsidP="00E615D7">
            <w:pPr>
              <w:pStyle w:val="ListParagraph"/>
              <w:spacing w:before="240" w:after="120"/>
              <w:ind w:left="0" w:right="4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The Asian Renewable Energy Hub is being developed as a large scale solar and wind hybrid renewable energy zone.</w:t>
            </w:r>
            <w:r>
              <w:rPr>
                <w:color w:val="auto"/>
                <w:sz w:val="18"/>
                <w:szCs w:val="18"/>
                <w:lang w:val="en-US"/>
              </w:rPr>
              <w:t xml:space="preserve"> </w:t>
            </w:r>
            <w:r w:rsidRPr="00921944">
              <w:rPr>
                <w:color w:val="auto"/>
                <w:sz w:val="18"/>
                <w:szCs w:val="18"/>
                <w:lang w:val="en-US"/>
              </w:rPr>
              <w:t xml:space="preserve">Bulk of the 26 GW energy will be used to generate hydrogen and </w:t>
            </w:r>
            <w:r>
              <w:rPr>
                <w:color w:val="auto"/>
                <w:sz w:val="18"/>
                <w:szCs w:val="18"/>
                <w:lang w:val="en-US"/>
              </w:rPr>
              <w:t xml:space="preserve">renewable </w:t>
            </w:r>
            <w:r w:rsidRPr="00921944">
              <w:rPr>
                <w:color w:val="auto"/>
                <w:sz w:val="18"/>
                <w:szCs w:val="18"/>
                <w:lang w:val="en-US"/>
              </w:rPr>
              <w:t>ammonia for export.</w:t>
            </w:r>
            <w:r w:rsidRPr="00921944">
              <w:rPr>
                <w:color w:val="auto"/>
                <w:sz w:val="18"/>
                <w:szCs w:val="18"/>
                <w:lang w:val="en-US"/>
              </w:rPr>
              <w:fldChar w:fldCharType="begin" w:fldLock="1"/>
            </w:r>
            <w:r w:rsidR="00D21B34">
              <w:rPr>
                <w:color w:val="auto"/>
                <w:sz w:val="18"/>
                <w:szCs w:val="18"/>
                <w:lang w:val="en-US"/>
              </w:rPr>
              <w:instrText>ADDIN CSL_CITATION {"citationItems":[{"id":"ITEM-1","itemData":{"URL":"https://reneweconomy.com.au/massive-asian-renewable-energy-hub-grows-to-26gw-of-wind-and-solar-49343/","accessed":{"date-parts":[["2021","4","21"]]},"author":[{"dropping-particle":"","family":"Mazengarb","given":"Michael","non-dropping-particle":"","parse-names":false,"suffix":""}],"container-title":"RenewEconomy","id":"ITEM-1","issued":{"date-parts":[["0"]]},"title":"Massive Asian Renewable Energy Hub grows to 26GW of wind and solar | ","type":"webpage"},"uris":["http://www.mendeley.com/documents/?uuid=ec2643f5-c96e-3f70-9de1-49498938c20b"]}],"mendeley":{"formattedCitation":"&lt;sup&gt;79&lt;/sup&gt;","plainTextFormattedCitation":"79","previouslyFormattedCitation":"&lt;sup&gt;79&lt;/sup&gt;"},"properties":{"noteIndex":0},"schema":"https://github.com/citation-style-language/schema/raw/master/csl-citation.json"}</w:instrText>
            </w:r>
            <w:r w:rsidRPr="00921944">
              <w:rPr>
                <w:color w:val="auto"/>
                <w:sz w:val="18"/>
                <w:szCs w:val="18"/>
                <w:lang w:val="en-US"/>
              </w:rPr>
              <w:fldChar w:fldCharType="separate"/>
            </w:r>
            <w:r w:rsidR="00C3381F" w:rsidRPr="00C3381F">
              <w:rPr>
                <w:noProof/>
                <w:color w:val="auto"/>
                <w:sz w:val="18"/>
                <w:szCs w:val="18"/>
                <w:vertAlign w:val="superscript"/>
                <w:lang w:val="en-US"/>
              </w:rPr>
              <w:t>79</w:t>
            </w:r>
            <w:r w:rsidRPr="00921944">
              <w:rPr>
                <w:color w:val="auto"/>
                <w:sz w:val="18"/>
                <w:szCs w:val="18"/>
                <w:lang w:val="en-US"/>
              </w:rPr>
              <w:fldChar w:fldCharType="end"/>
            </w:r>
            <w:r w:rsidRPr="00921944">
              <w:rPr>
                <w:color w:val="auto"/>
                <w:sz w:val="18"/>
                <w:szCs w:val="18"/>
                <w:lang w:val="en-US"/>
              </w:rPr>
              <w:t xml:space="preserve"> </w:t>
            </w:r>
          </w:p>
          <w:p w14:paraId="56AF04BA" w14:textId="77777777" w:rsidR="00E615D7" w:rsidRDefault="00E615D7" w:rsidP="00E615D7">
            <w:pPr>
              <w:pStyle w:val="ListParagraph"/>
              <w:spacing w:before="240" w:after="120"/>
              <w:ind w:left="0" w:right="4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The project proponents include CWP Energy Asia, NW Interconnected Power, Intercontinental Energy, </w:t>
            </w:r>
            <w:proofErr w:type="gramStart"/>
            <w:r w:rsidRPr="00921944">
              <w:rPr>
                <w:color w:val="auto"/>
                <w:sz w:val="18"/>
                <w:szCs w:val="18"/>
                <w:lang w:val="en-US"/>
              </w:rPr>
              <w:t>Vestas</w:t>
            </w:r>
            <w:proofErr w:type="gramEnd"/>
            <w:r w:rsidRPr="00921944">
              <w:rPr>
                <w:color w:val="auto"/>
                <w:sz w:val="18"/>
                <w:szCs w:val="18"/>
                <w:lang w:val="en-US"/>
              </w:rPr>
              <w:t xml:space="preserve"> and the Pathways Investment group.</w:t>
            </w:r>
          </w:p>
          <w:p w14:paraId="17903846" w14:textId="59FFCF53"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Pr>
                <w:color w:val="auto"/>
                <w:sz w:val="18"/>
                <w:szCs w:val="18"/>
                <w:lang w:val="en-US"/>
              </w:rPr>
              <w:t>The project is expected to cost ~48 billion to develop.</w:t>
            </w:r>
            <w:r>
              <w:rPr>
                <w:color w:val="auto"/>
                <w:sz w:val="18"/>
                <w:szCs w:val="18"/>
                <w:lang w:val="en-US"/>
              </w:rPr>
              <w:fldChar w:fldCharType="begin" w:fldLock="1"/>
            </w:r>
            <w:r w:rsidR="00D21B34">
              <w:rPr>
                <w:color w:val="auto"/>
                <w:sz w:val="18"/>
                <w:szCs w:val="18"/>
                <w:lang w:val="en-US"/>
              </w:rPr>
              <w:instrText>ADDIN CSL_CITATION {"citationItems":[{"id":"ITEM-1","itemData":{"URL":"https://intercontinentalenergy.com/asian-renewable-energy-hub","accessed":{"date-parts":[["2021","7","23"]]},"author":[{"dropping-particle":"","family":"Intercontinental Energy","given":"","non-dropping-particle":"","parse-names":false,"suffix":""}],"id":"ITEM-1","issued":{"date-parts":[["0"]]},"title":"Asian renewable energy hub ","type":"webpage"},"uris":["http://www.mendeley.com/documents/?uuid=5452ae73-4ec2-3330-b62b-ac6c3d18075e"]}],"mendeley":{"formattedCitation":"&lt;sup&gt;80&lt;/sup&gt;","plainTextFormattedCitation":"80","previouslyFormattedCitation":"&lt;sup&gt;80&lt;/sup&gt;"},"properties":{"noteIndex":0},"schema":"https://github.com/citation-style-language/schema/raw/master/csl-citation.json"}</w:instrText>
            </w:r>
            <w:r>
              <w:rPr>
                <w:color w:val="auto"/>
                <w:sz w:val="18"/>
                <w:szCs w:val="18"/>
                <w:lang w:val="en-US"/>
              </w:rPr>
              <w:fldChar w:fldCharType="separate"/>
            </w:r>
            <w:r w:rsidR="00C3381F" w:rsidRPr="00C3381F">
              <w:rPr>
                <w:noProof/>
                <w:color w:val="auto"/>
                <w:sz w:val="18"/>
                <w:szCs w:val="18"/>
                <w:vertAlign w:val="superscript"/>
                <w:lang w:val="en-US"/>
              </w:rPr>
              <w:t>80</w:t>
            </w:r>
            <w:r>
              <w:rPr>
                <w:color w:val="auto"/>
                <w:sz w:val="18"/>
                <w:szCs w:val="18"/>
                <w:lang w:val="en-US"/>
              </w:rPr>
              <w:fldChar w:fldCharType="end"/>
            </w:r>
          </w:p>
        </w:tc>
        <w:tc>
          <w:tcPr>
            <w:tcW w:w="1620" w:type="dxa"/>
            <w:gridSpan w:val="2"/>
            <w:shd w:val="clear" w:color="auto" w:fill="FFFFFF" w:themeFill="background1"/>
          </w:tcPr>
          <w:p w14:paraId="477F3283" w14:textId="77777777"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Pilbara, </w:t>
            </w:r>
          </w:p>
          <w:p w14:paraId="12CB8F81" w14:textId="75C1AA25"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color w:val="auto"/>
                <w:sz w:val="18"/>
                <w:szCs w:val="18"/>
                <w:lang w:val="en-US"/>
              </w:rPr>
              <w:t>WA</w:t>
            </w:r>
          </w:p>
        </w:tc>
        <w:tc>
          <w:tcPr>
            <w:tcW w:w="2059" w:type="dxa"/>
            <w:gridSpan w:val="2"/>
            <w:shd w:val="clear" w:color="auto" w:fill="FFFFFF" w:themeFill="background1"/>
          </w:tcPr>
          <w:p w14:paraId="21A9567D" w14:textId="77777777" w:rsidR="00E615D7" w:rsidRDefault="00E615D7" w:rsidP="00E615D7">
            <w:pPr>
              <w:pStyle w:val="ListParagraph"/>
              <w:numPr>
                <w:ilvl w:val="0"/>
                <w:numId w:val="39"/>
              </w:numPr>
              <w:tabs>
                <w:tab w:val="clear" w:pos="357"/>
              </w:tabs>
              <w:ind w:left="40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Pr>
                <w:color w:val="auto"/>
                <w:sz w:val="18"/>
                <w:szCs w:val="18"/>
                <w:lang w:val="en-US"/>
              </w:rPr>
              <w:t>26 GW of hybrid solar and wind capacity.</w:t>
            </w:r>
          </w:p>
          <w:p w14:paraId="7867B56D" w14:textId="77777777" w:rsidR="00E615D7" w:rsidRDefault="00E615D7" w:rsidP="00E615D7">
            <w:pPr>
              <w:pStyle w:val="ListParagraph"/>
              <w:tabs>
                <w:tab w:val="clear" w:pos="357"/>
              </w:tabs>
              <w:ind w:left="40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p>
          <w:p w14:paraId="3DA80365" w14:textId="77777777" w:rsidR="00E615D7" w:rsidRPr="00E66BEA" w:rsidRDefault="00E615D7" w:rsidP="00E615D7">
            <w:pPr>
              <w:pStyle w:val="ListParagraph"/>
              <w:numPr>
                <w:ilvl w:val="0"/>
                <w:numId w:val="39"/>
              </w:numPr>
              <w:tabs>
                <w:tab w:val="clear" w:pos="357"/>
              </w:tabs>
              <w:ind w:left="40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Pr>
                <w:color w:val="auto"/>
                <w:sz w:val="18"/>
                <w:szCs w:val="18"/>
                <w:lang w:val="en-US"/>
              </w:rPr>
              <w:t>1.7 Mtpa of H</w:t>
            </w:r>
            <w:r w:rsidRPr="00E66BEA">
              <w:rPr>
                <w:color w:val="auto"/>
                <w:sz w:val="18"/>
                <w:szCs w:val="18"/>
                <w:vertAlign w:val="subscript"/>
                <w:lang w:val="en-US"/>
              </w:rPr>
              <w:t>2</w:t>
            </w:r>
          </w:p>
          <w:p w14:paraId="719709A3" w14:textId="77777777" w:rsidR="00E615D7" w:rsidRDefault="00E615D7" w:rsidP="00E615D7">
            <w:pPr>
              <w:ind w:left="401"/>
              <w:cnfStyle w:val="000000010000" w:firstRow="0" w:lastRow="0" w:firstColumn="0" w:lastColumn="0" w:oddVBand="0" w:evenVBand="0" w:oddHBand="0" w:evenHBand="1" w:firstRowFirstColumn="0" w:firstRowLastColumn="0" w:lastRowFirstColumn="0" w:lastRowLastColumn="0"/>
              <w:rPr>
                <w:color w:val="auto"/>
                <w:sz w:val="18"/>
                <w:szCs w:val="18"/>
                <w:lang w:val="en-US"/>
              </w:rPr>
            </w:pPr>
          </w:p>
          <w:p w14:paraId="4A59AB26" w14:textId="77777777" w:rsidR="00E615D7" w:rsidRDefault="00E615D7" w:rsidP="00E615D7">
            <w:pPr>
              <w:pStyle w:val="ListParagraph"/>
              <w:numPr>
                <w:ilvl w:val="0"/>
                <w:numId w:val="39"/>
              </w:numPr>
              <w:tabs>
                <w:tab w:val="clear" w:pos="357"/>
              </w:tabs>
              <w:ind w:left="40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Pr>
                <w:color w:val="auto"/>
                <w:sz w:val="18"/>
                <w:szCs w:val="18"/>
                <w:lang w:val="en-US"/>
              </w:rPr>
              <w:t>9.9 Mtpa of green ammonia</w:t>
            </w:r>
          </w:p>
          <w:p w14:paraId="6D07B13C" w14:textId="77777777" w:rsidR="00E615D7" w:rsidRPr="00106BD4" w:rsidRDefault="00E615D7" w:rsidP="00E615D7">
            <w:pPr>
              <w:pStyle w:val="ListParagraph"/>
              <w:tabs>
                <w:tab w:val="clear" w:pos="357"/>
              </w:tabs>
              <w:ind w:left="401"/>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p>
          <w:p w14:paraId="264CF293" w14:textId="67A3EE62" w:rsidR="00E615D7"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Pr>
                <w:color w:val="auto"/>
                <w:sz w:val="18"/>
                <w:szCs w:val="18"/>
                <w:lang w:val="en-US"/>
              </w:rPr>
              <w:t>(Based on a feasibility study conducted in 2019)</w:t>
            </w:r>
            <w:r>
              <w:rPr>
                <w:color w:val="auto"/>
                <w:sz w:val="18"/>
                <w:szCs w:val="18"/>
                <w:lang w:val="en-US"/>
              </w:rPr>
              <w:fldChar w:fldCharType="begin" w:fldLock="1"/>
            </w:r>
            <w:r w:rsidR="00D21B34">
              <w:rPr>
                <w:color w:val="auto"/>
                <w:sz w:val="18"/>
                <w:szCs w:val="18"/>
                <w:lang w:val="en-US"/>
              </w:rPr>
              <w:instrText>ADDIN CSL_CITATION {"citationItems":[{"id":"ITEM-1","itemData":{"URL":"https://intercontinentalenergy.com/asian-renewable-energy-hub","accessed":{"date-parts":[["2021","7","23"]]},"author":[{"dropping-particle":"","family":"Intercontinental Energy","given":"","non-dropping-particle":"","parse-names":false,"suffix":""}],"id":"ITEM-1","issued":{"date-parts":[["0"]]},"title":"Asian renewable energy hub ","type":"webpage"},"uris":["http://www.mendeley.com/documents/?uuid=5452ae73-4ec2-3330-b62b-ac6c3d18075e"]}],"mendeley":{"formattedCitation":"&lt;sup&gt;80&lt;/sup&gt;","plainTextFormattedCitation":"80","previouslyFormattedCitation":"&lt;sup&gt;80&lt;/sup&gt;"},"properties":{"noteIndex":0},"schema":"https://github.com/citation-style-language/schema/raw/master/csl-citation.json"}</w:instrText>
            </w:r>
            <w:r>
              <w:rPr>
                <w:color w:val="auto"/>
                <w:sz w:val="18"/>
                <w:szCs w:val="18"/>
                <w:lang w:val="en-US"/>
              </w:rPr>
              <w:fldChar w:fldCharType="separate"/>
            </w:r>
            <w:r w:rsidR="00C3381F" w:rsidRPr="00C3381F">
              <w:rPr>
                <w:noProof/>
                <w:color w:val="auto"/>
                <w:sz w:val="18"/>
                <w:szCs w:val="18"/>
                <w:vertAlign w:val="superscript"/>
                <w:lang w:val="en-US"/>
              </w:rPr>
              <w:t>80</w:t>
            </w:r>
            <w:r>
              <w:rPr>
                <w:color w:val="auto"/>
                <w:sz w:val="18"/>
                <w:szCs w:val="18"/>
                <w:lang w:val="en-US"/>
              </w:rPr>
              <w:fldChar w:fldCharType="end"/>
            </w:r>
          </w:p>
        </w:tc>
        <w:tc>
          <w:tcPr>
            <w:tcW w:w="2064" w:type="dxa"/>
            <w:gridSpan w:val="2"/>
            <w:shd w:val="clear" w:color="auto" w:fill="FFFFFF" w:themeFill="background1"/>
          </w:tcPr>
          <w:p w14:paraId="0C24BFF5" w14:textId="77777777"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Feasibility Stage</w:t>
            </w:r>
          </w:p>
          <w:p w14:paraId="7102B968" w14:textId="78E4CA68"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color w:val="auto"/>
                <w:sz w:val="18"/>
                <w:szCs w:val="18"/>
                <w:lang w:val="en-US"/>
              </w:rPr>
              <w:t xml:space="preserve">(Commercial </w:t>
            </w:r>
            <w:r>
              <w:rPr>
                <w:color w:val="auto"/>
                <w:sz w:val="18"/>
                <w:szCs w:val="18"/>
                <w:lang w:val="en-US"/>
              </w:rPr>
              <w:t>s</w:t>
            </w:r>
            <w:r w:rsidRPr="00921944">
              <w:rPr>
                <w:color w:val="auto"/>
                <w:sz w:val="18"/>
                <w:szCs w:val="18"/>
                <w:lang w:val="en-US"/>
              </w:rPr>
              <w:t>cale hydrogen export hub)</w:t>
            </w:r>
          </w:p>
        </w:tc>
        <w:tc>
          <w:tcPr>
            <w:tcW w:w="1426" w:type="dxa"/>
            <w:gridSpan w:val="2"/>
            <w:shd w:val="clear" w:color="auto" w:fill="FFFFFF" w:themeFill="background1"/>
          </w:tcPr>
          <w:p w14:paraId="108FB9FA" w14:textId="77777777" w:rsidR="00E615D7" w:rsidRDefault="00E615D7" w:rsidP="00E615D7">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rPr>
            </w:pPr>
          </w:p>
        </w:tc>
        <w:tc>
          <w:tcPr>
            <w:tcW w:w="1302" w:type="dxa"/>
            <w:shd w:val="clear" w:color="auto" w:fill="FFFFFF" w:themeFill="background1"/>
          </w:tcPr>
          <w:p w14:paraId="74DE7493" w14:textId="7C35DEA8" w:rsidR="00E615D7" w:rsidRDefault="00E615D7" w:rsidP="00E615D7">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39ABBC02" wp14:editId="0C585EA3">
                  <wp:extent cx="461882" cy="477078"/>
                  <wp:effectExtent l="0" t="0" r="0" b="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shd w:val="clear" w:color="auto" w:fill="FFFFFF" w:themeFill="background1"/>
          </w:tcPr>
          <w:p w14:paraId="353358C0" w14:textId="77777777" w:rsidR="00E615D7"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Early stages of development</w:t>
            </w:r>
          </w:p>
          <w:p w14:paraId="0DE086CF" w14:textId="77777777" w:rsidR="00E615D7"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noProof/>
                <w:color w:val="auto"/>
                <w:sz w:val="18"/>
                <w:szCs w:val="18"/>
                <w:lang w:val="en-US"/>
              </w:rPr>
            </w:pPr>
          </w:p>
          <w:p w14:paraId="152B138E" w14:textId="79A06A7E" w:rsidR="00E615D7" w:rsidRPr="00921944" w:rsidRDefault="00E615D7" w:rsidP="00E615D7">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noProof/>
                <w:sz w:val="18"/>
                <w:szCs w:val="18"/>
                <w:lang w:val="en-US"/>
              </w:rPr>
            </w:pPr>
            <w:r w:rsidRPr="008A50FF">
              <w:rPr>
                <w:color w:val="auto"/>
                <w:sz w:val="18"/>
                <w:szCs w:val="18"/>
                <w:lang w:val="en-US"/>
              </w:rPr>
              <w:t>The Final Investment Decision is expected in 2025 and first export by 2027/28.</w:t>
            </w:r>
          </w:p>
        </w:tc>
      </w:tr>
      <w:tr w:rsidR="009F3380" w:rsidRPr="00921944" w14:paraId="1DC4FEF5" w14:textId="77777777" w:rsidTr="00F86782">
        <w:tc>
          <w:tcPr>
            <w:cnfStyle w:val="001000000000" w:firstRow="0" w:lastRow="0" w:firstColumn="1" w:lastColumn="0" w:oddVBand="0" w:evenVBand="0" w:oddHBand="0" w:evenHBand="0" w:firstRowFirstColumn="0" w:firstRowLastColumn="0" w:lastRowFirstColumn="0" w:lastRowLastColumn="0"/>
            <w:tcW w:w="556" w:type="dxa"/>
          </w:tcPr>
          <w:p w14:paraId="4E9B44BE" w14:textId="68B37052" w:rsidR="009F3380" w:rsidRPr="00921944" w:rsidRDefault="009F3380" w:rsidP="009F3380">
            <w:pPr>
              <w:pStyle w:val="ListParagraph"/>
              <w:ind w:left="0"/>
              <w:rPr>
                <w:sz w:val="18"/>
                <w:szCs w:val="18"/>
                <w:lang w:val="en-US"/>
              </w:rPr>
            </w:pPr>
            <w:r w:rsidRPr="00921944">
              <w:rPr>
                <w:sz w:val="18"/>
                <w:szCs w:val="18"/>
                <w:lang w:val="en-US"/>
              </w:rPr>
              <w:lastRenderedPageBreak/>
              <w:t>3</w:t>
            </w:r>
            <w:r w:rsidR="00812878">
              <w:rPr>
                <w:sz w:val="18"/>
                <w:szCs w:val="18"/>
                <w:lang w:val="en-US"/>
              </w:rPr>
              <w:t>7</w:t>
            </w:r>
            <w:r w:rsidRPr="00921944">
              <w:rPr>
                <w:sz w:val="18"/>
                <w:szCs w:val="18"/>
                <w:lang w:val="en-US"/>
              </w:rPr>
              <w:t>.</w:t>
            </w:r>
          </w:p>
        </w:tc>
        <w:tc>
          <w:tcPr>
            <w:tcW w:w="3115" w:type="dxa"/>
          </w:tcPr>
          <w:p w14:paraId="35A91626"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Ord Hydrogen Project</w:t>
            </w:r>
          </w:p>
          <w:p w14:paraId="32C38393" w14:textId="18EEE48D" w:rsidR="009F3380" w:rsidRPr="00921944" w:rsidRDefault="009F3380" w:rsidP="009F3380">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The Ord Hydrogen project is being proposed by Pacific Hydro at their 30 MW hydroelectric power plant. A 5 – 25 MW </w:t>
            </w:r>
            <w:r>
              <w:rPr>
                <w:sz w:val="18"/>
                <w:szCs w:val="18"/>
                <w:lang w:val="en-US"/>
              </w:rPr>
              <w:t>electrolyser</w:t>
            </w:r>
            <w:r w:rsidRPr="00921944">
              <w:rPr>
                <w:sz w:val="18"/>
                <w:szCs w:val="18"/>
                <w:lang w:val="en-US"/>
              </w:rPr>
              <w:t xml:space="preserve"> is planned for generating hydrogen for local use and export.</w:t>
            </w:r>
            <w:r w:rsidRPr="00921944">
              <w:rPr>
                <w:sz w:val="18"/>
                <w:szCs w:val="18"/>
                <w:lang w:val="en-US"/>
              </w:rPr>
              <w:fldChar w:fldCharType="begin" w:fldLock="1"/>
            </w:r>
            <w:r w:rsidR="00D21B34">
              <w:rPr>
                <w:sz w:val="18"/>
                <w:szCs w:val="18"/>
                <w:lang w:val="en-US"/>
              </w:rPr>
              <w:instrText>ADDIN CSL_CITATION {"citationItems":[{"id":"ITEM-1","itemData":{"URL":"https://research.csiro.au/hyresource/ord-hydrogen/","accessed":{"date-parts":[["2021","4","19"]]},"author":[{"dropping-particle":"","family":"CSIRO","given":"","non-dropping-particle":"","parse-names":false,"suffix":""}],"container-title":"HyResource","id":"ITEM-1","issued":{"date-parts":[["2020","9","23"]]},"title":"Ord Hydrogen ","type":"webpage"},"uris":["http://www.mendeley.com/documents/?uuid=1fe7c672-77b8-33f1-b4d3-c81a03e97129"]}],"mendeley":{"formattedCitation":"&lt;sup&gt;81&lt;/sup&gt;","plainTextFormattedCitation":"81","previouslyFormattedCitation":"&lt;sup&gt;81&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81</w:t>
            </w:r>
            <w:r w:rsidRPr="00921944">
              <w:rPr>
                <w:sz w:val="18"/>
                <w:szCs w:val="18"/>
                <w:lang w:val="en-US"/>
              </w:rPr>
              <w:fldChar w:fldCharType="end"/>
            </w:r>
          </w:p>
        </w:tc>
        <w:tc>
          <w:tcPr>
            <w:tcW w:w="1620" w:type="dxa"/>
            <w:gridSpan w:val="2"/>
          </w:tcPr>
          <w:p w14:paraId="119B7B18"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921944">
              <w:rPr>
                <w:sz w:val="18"/>
                <w:szCs w:val="18"/>
                <w:lang w:val="en-US"/>
              </w:rPr>
              <w:t>Kununurra</w:t>
            </w:r>
            <w:proofErr w:type="spellEnd"/>
            <w:r w:rsidRPr="00921944">
              <w:rPr>
                <w:sz w:val="18"/>
                <w:szCs w:val="18"/>
                <w:lang w:val="en-US"/>
              </w:rPr>
              <w:t xml:space="preserve">, </w:t>
            </w:r>
          </w:p>
          <w:p w14:paraId="14CDEF49"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WA</w:t>
            </w:r>
          </w:p>
        </w:tc>
        <w:tc>
          <w:tcPr>
            <w:tcW w:w="2059" w:type="dxa"/>
            <w:gridSpan w:val="2"/>
          </w:tcPr>
          <w:p w14:paraId="3B617366" w14:textId="5C84C04C"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5 - </w:t>
            </w:r>
            <w:r w:rsidRPr="00921944">
              <w:rPr>
                <w:sz w:val="18"/>
                <w:szCs w:val="18"/>
                <w:lang w:val="en-US"/>
              </w:rPr>
              <w:t xml:space="preserve">25 MW </w:t>
            </w:r>
            <w:r>
              <w:rPr>
                <w:sz w:val="18"/>
                <w:szCs w:val="18"/>
                <w:lang w:val="en-US"/>
              </w:rPr>
              <w:t>electrolyser</w:t>
            </w:r>
          </w:p>
        </w:tc>
        <w:tc>
          <w:tcPr>
            <w:tcW w:w="2064" w:type="dxa"/>
            <w:gridSpan w:val="2"/>
          </w:tcPr>
          <w:p w14:paraId="2494EC85"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Feasibility Stage</w:t>
            </w:r>
          </w:p>
          <w:p w14:paraId="00426357"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tc>
        <w:tc>
          <w:tcPr>
            <w:tcW w:w="1426" w:type="dxa"/>
            <w:gridSpan w:val="2"/>
          </w:tcPr>
          <w:p w14:paraId="0DE9BCDA" w14:textId="5E040CC9"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b/>
                <w:bCs/>
                <w:noProof/>
                <w:sz w:val="18"/>
                <w:szCs w:val="18"/>
              </w:rPr>
            </w:pPr>
            <w:r>
              <w:rPr>
                <w:noProof/>
              </w:rPr>
              <w:drawing>
                <wp:inline distT="0" distB="0" distL="0" distR="0" wp14:anchorId="2AAC7878" wp14:editId="7266471C">
                  <wp:extent cx="461882" cy="477078"/>
                  <wp:effectExtent l="0" t="0" r="0" b="0"/>
                  <wp:docPr id="127" name="Picture 1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5AFEAC2B" w14:textId="3E4EE2C1"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667E122B" wp14:editId="763B2E54">
                  <wp:extent cx="461882" cy="477078"/>
                  <wp:effectExtent l="0" t="0" r="0" b="0"/>
                  <wp:docPr id="129" name="Picture 1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gridSpan w:val="2"/>
          </w:tcPr>
          <w:p w14:paraId="771FE5EF" w14:textId="0560302D"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noProof/>
                <w:sz w:val="18"/>
                <w:szCs w:val="18"/>
                <w:lang w:val="en-US"/>
              </w:rPr>
              <w:t>Early stage of development</w:t>
            </w:r>
            <w:r>
              <w:rPr>
                <w:noProof/>
                <w:sz w:val="18"/>
                <w:szCs w:val="18"/>
                <w:lang w:val="en-US"/>
              </w:rPr>
              <w:t>.</w:t>
            </w:r>
          </w:p>
        </w:tc>
      </w:tr>
      <w:tr w:rsidR="009F3380" w:rsidRPr="00921944" w14:paraId="24FA1999" w14:textId="77777777" w:rsidTr="00F867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5" w:type="dxa"/>
            <w:gridSpan w:val="13"/>
            <w:shd w:val="clear" w:color="auto" w:fill="737373" w:themeFill="text2"/>
          </w:tcPr>
          <w:p w14:paraId="2975BDAB" w14:textId="77777777" w:rsidR="009F3380" w:rsidRPr="00921944" w:rsidRDefault="009F3380" w:rsidP="009F3380">
            <w:pPr>
              <w:pStyle w:val="ListParagraph"/>
              <w:spacing w:before="120" w:after="120"/>
              <w:ind w:left="0"/>
              <w:contextualSpacing w:val="0"/>
              <w:rPr>
                <w:noProof/>
                <w:sz w:val="18"/>
                <w:szCs w:val="18"/>
                <w:lang w:val="en-US"/>
              </w:rPr>
            </w:pPr>
            <w:r w:rsidRPr="00921944">
              <w:rPr>
                <w:noProof/>
                <w:color w:val="FFFFFF" w:themeColor="background1"/>
                <w:sz w:val="18"/>
                <w:szCs w:val="18"/>
                <w:lang w:val="en-US"/>
              </w:rPr>
              <w:t xml:space="preserve">Northern Territroy </w:t>
            </w:r>
          </w:p>
        </w:tc>
      </w:tr>
      <w:tr w:rsidR="009F3380" w:rsidRPr="00921944" w14:paraId="40E6CE3F" w14:textId="77777777" w:rsidTr="00F86782">
        <w:trPr>
          <w:trHeight w:val="77"/>
        </w:trPr>
        <w:tc>
          <w:tcPr>
            <w:cnfStyle w:val="001000000000" w:firstRow="0" w:lastRow="0" w:firstColumn="1" w:lastColumn="0" w:oddVBand="0" w:evenVBand="0" w:oddHBand="0" w:evenHBand="0" w:firstRowFirstColumn="0" w:firstRowLastColumn="0" w:lastRowFirstColumn="0" w:lastRowLastColumn="0"/>
            <w:tcW w:w="556" w:type="dxa"/>
          </w:tcPr>
          <w:p w14:paraId="29B4B935" w14:textId="5DC1DC3E" w:rsidR="009F3380" w:rsidRPr="00921944" w:rsidRDefault="009F3380" w:rsidP="009F3380">
            <w:pPr>
              <w:pStyle w:val="ListParagraph"/>
              <w:ind w:left="0"/>
              <w:rPr>
                <w:sz w:val="18"/>
                <w:szCs w:val="18"/>
                <w:lang w:val="en-US"/>
              </w:rPr>
            </w:pPr>
            <w:r w:rsidRPr="00921944">
              <w:rPr>
                <w:sz w:val="18"/>
                <w:szCs w:val="18"/>
                <w:lang w:val="en-US"/>
              </w:rPr>
              <w:t>3</w:t>
            </w:r>
            <w:r w:rsidR="00F021FC">
              <w:rPr>
                <w:sz w:val="18"/>
                <w:szCs w:val="18"/>
                <w:lang w:val="en-US"/>
              </w:rPr>
              <w:t>8</w:t>
            </w:r>
            <w:r w:rsidRPr="00921944">
              <w:rPr>
                <w:sz w:val="18"/>
                <w:szCs w:val="18"/>
                <w:lang w:val="en-US"/>
              </w:rPr>
              <w:t>.</w:t>
            </w:r>
          </w:p>
        </w:tc>
        <w:tc>
          <w:tcPr>
            <w:tcW w:w="3115" w:type="dxa"/>
          </w:tcPr>
          <w:p w14:paraId="1531E9B1" w14:textId="77777777" w:rsidR="009F3380" w:rsidRPr="00921944" w:rsidRDefault="009F3380" w:rsidP="009F3380">
            <w:pPr>
              <w:pStyle w:val="ListParagraph"/>
              <w:ind w:left="0" w:right="119"/>
              <w:contextualSpacing w:val="0"/>
              <w:jc w:val="both"/>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 xml:space="preserve">Aqua </w:t>
            </w:r>
            <w:proofErr w:type="spellStart"/>
            <w:r w:rsidRPr="00921944">
              <w:rPr>
                <w:b/>
                <w:bCs/>
                <w:sz w:val="18"/>
                <w:szCs w:val="18"/>
                <w:lang w:val="en-US"/>
              </w:rPr>
              <w:t>Aerem</w:t>
            </w:r>
            <w:proofErr w:type="spellEnd"/>
            <w:r w:rsidRPr="00921944">
              <w:rPr>
                <w:b/>
                <w:bCs/>
                <w:sz w:val="18"/>
                <w:szCs w:val="18"/>
                <w:lang w:val="en-US"/>
              </w:rPr>
              <w:t xml:space="preserve"> Demonstration Project</w:t>
            </w:r>
          </w:p>
          <w:p w14:paraId="109754FD" w14:textId="271312EC" w:rsidR="009F3380" w:rsidRDefault="009F3380" w:rsidP="009F3380">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 xml:space="preserve">Aqua </w:t>
            </w:r>
            <w:proofErr w:type="spellStart"/>
            <w:r w:rsidRPr="00921944">
              <w:rPr>
                <w:sz w:val="18"/>
                <w:szCs w:val="18"/>
                <w:lang w:val="en-US"/>
              </w:rPr>
              <w:t>Aerem</w:t>
            </w:r>
            <w:proofErr w:type="spellEnd"/>
            <w:r w:rsidRPr="00921944">
              <w:rPr>
                <w:sz w:val="18"/>
                <w:szCs w:val="18"/>
                <w:lang w:val="en-US"/>
              </w:rPr>
              <w:t xml:space="preserve"> a developer of proprietary </w:t>
            </w:r>
            <w:r>
              <w:rPr>
                <w:sz w:val="18"/>
                <w:szCs w:val="18"/>
                <w:lang w:val="en-US"/>
              </w:rPr>
              <w:t>electrolyser</w:t>
            </w:r>
            <w:r w:rsidRPr="00921944">
              <w:rPr>
                <w:sz w:val="18"/>
                <w:szCs w:val="18"/>
                <w:lang w:val="en-US"/>
              </w:rPr>
              <w:t xml:space="preserve"> systems is in advanced stages to tr</w:t>
            </w:r>
            <w:r>
              <w:rPr>
                <w:sz w:val="18"/>
                <w:szCs w:val="18"/>
                <w:lang w:val="en-US"/>
              </w:rPr>
              <w:t>ia</w:t>
            </w:r>
            <w:r w:rsidRPr="00921944">
              <w:rPr>
                <w:sz w:val="18"/>
                <w:szCs w:val="18"/>
                <w:lang w:val="en-US"/>
              </w:rPr>
              <w:t>l their technology to generate hydrogen using water extracted from desert air and renewable energy.</w:t>
            </w:r>
          </w:p>
          <w:p w14:paraId="36DEF10F" w14:textId="25D67CFF" w:rsidR="009F3380" w:rsidRPr="00921944" w:rsidRDefault="009F3380" w:rsidP="009F3380">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The project has been backed by the NT state government.</w:t>
            </w:r>
            <w:r w:rsidRPr="00921944">
              <w:rPr>
                <w:sz w:val="18"/>
                <w:szCs w:val="18"/>
                <w:lang w:val="en-US"/>
              </w:rPr>
              <w:fldChar w:fldCharType="begin" w:fldLock="1"/>
            </w:r>
            <w:r w:rsidR="00D21B34">
              <w:rPr>
                <w:sz w:val="18"/>
                <w:szCs w:val="18"/>
                <w:lang w:val="en-US"/>
              </w:rPr>
              <w:instrText>ADDIN CSL_CITATION {"citationItems":[{"id":"ITEM-1","itemData":{"URL":"https://reneweconomy.com.au/northern-territory-to-trial-hydrogen-made-with-water-from-air/","accessed":{"date-parts":[["2021","4","20"]]},"author":[{"dropping-particle":"","family":"Fernyhough","given":"James","non-dropping-particle":"","parse-names":false,"suffix":""}],"container-title":"RenewEconomy","id":"ITEM-1","issued":{"date-parts":[["2021","2","24"]]},"title":"Northern Territory to trial hydrogen made with 'water from air' ","type":"webpage"},"uris":["http://www.mendeley.com/documents/?uuid=67de0e20-ca8f-3728-a3e5-227bdf8b92c6"]}],"mendeley":{"formattedCitation":"&lt;sup&gt;82&lt;/sup&gt;","plainTextFormattedCitation":"82","previouslyFormattedCitation":"&lt;sup&gt;82&lt;/sup&gt;"},"properties":{"noteIndex":0},"schema":"https://github.com/citation-style-language/schema/raw/master/csl-citation.json"}</w:instrText>
            </w:r>
            <w:r w:rsidRPr="00921944">
              <w:rPr>
                <w:sz w:val="18"/>
                <w:szCs w:val="18"/>
                <w:lang w:val="en-US"/>
              </w:rPr>
              <w:fldChar w:fldCharType="separate"/>
            </w:r>
            <w:r w:rsidR="00C3381F" w:rsidRPr="00C3381F">
              <w:rPr>
                <w:noProof/>
                <w:sz w:val="18"/>
                <w:szCs w:val="18"/>
                <w:vertAlign w:val="superscript"/>
                <w:lang w:val="en-US"/>
              </w:rPr>
              <w:t>82</w:t>
            </w:r>
            <w:r w:rsidRPr="00921944">
              <w:rPr>
                <w:sz w:val="18"/>
                <w:szCs w:val="18"/>
                <w:lang w:val="en-US"/>
              </w:rPr>
              <w:fldChar w:fldCharType="end"/>
            </w:r>
          </w:p>
        </w:tc>
        <w:tc>
          <w:tcPr>
            <w:tcW w:w="1620" w:type="dxa"/>
            <w:gridSpan w:val="2"/>
          </w:tcPr>
          <w:p w14:paraId="21D2AA69"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Alice Springs,</w:t>
            </w:r>
          </w:p>
          <w:p w14:paraId="29E04F72"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NT.</w:t>
            </w:r>
          </w:p>
        </w:tc>
        <w:tc>
          <w:tcPr>
            <w:tcW w:w="2059" w:type="dxa"/>
            <w:gridSpan w:val="2"/>
          </w:tcPr>
          <w:p w14:paraId="1D547EF7"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N.A.</w:t>
            </w:r>
          </w:p>
        </w:tc>
        <w:tc>
          <w:tcPr>
            <w:tcW w:w="2064" w:type="dxa"/>
            <w:gridSpan w:val="2"/>
          </w:tcPr>
          <w:p w14:paraId="4D978632" w14:textId="77777777"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Demonstration Facility</w:t>
            </w:r>
          </w:p>
        </w:tc>
        <w:tc>
          <w:tcPr>
            <w:tcW w:w="1426" w:type="dxa"/>
            <w:gridSpan w:val="2"/>
          </w:tcPr>
          <w:p w14:paraId="49041C68" w14:textId="1CE96DB1"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4A2C8EA8" wp14:editId="12AE44BD">
                  <wp:extent cx="461882" cy="477078"/>
                  <wp:effectExtent l="0" t="0" r="0" b="0"/>
                  <wp:docPr id="130" name="Picture 1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3DC29F5E" w14:textId="77777777" w:rsidR="009F3380" w:rsidRPr="00921944" w:rsidRDefault="009F3380" w:rsidP="009F3380">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2873" w:type="dxa"/>
            <w:gridSpan w:val="2"/>
          </w:tcPr>
          <w:p w14:paraId="6E68ADF7" w14:textId="5F9C3176" w:rsidR="009F3380" w:rsidRPr="00921944" w:rsidRDefault="009F3380" w:rsidP="009F3380">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noProof/>
                <w:sz w:val="18"/>
                <w:szCs w:val="18"/>
                <w:lang w:val="en-US"/>
              </w:rPr>
              <w:t>Early stage of development</w:t>
            </w:r>
            <w:r>
              <w:rPr>
                <w:noProof/>
                <w:sz w:val="18"/>
                <w:szCs w:val="18"/>
                <w:lang w:val="en-US"/>
              </w:rPr>
              <w:t>.</w:t>
            </w:r>
          </w:p>
        </w:tc>
      </w:tr>
    </w:tbl>
    <w:p w14:paraId="21CC500D" w14:textId="77777777" w:rsidR="007A1DBD" w:rsidRDefault="007A1DBD">
      <w:r>
        <w:rPr>
          <w:b/>
        </w:rPr>
        <w:br w:type="page"/>
      </w:r>
    </w:p>
    <w:tbl>
      <w:tblPr>
        <w:tblStyle w:val="TableGrid"/>
        <w:tblW w:w="15015"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115"/>
        <w:gridCol w:w="1620"/>
        <w:gridCol w:w="2059"/>
        <w:gridCol w:w="2064"/>
        <w:gridCol w:w="1426"/>
        <w:gridCol w:w="1302"/>
        <w:gridCol w:w="2873"/>
      </w:tblGrid>
      <w:tr w:rsidR="00C039E1" w:rsidRPr="00921944" w14:paraId="4F9F44D4" w14:textId="77777777" w:rsidTr="00F86782">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015" w:type="dxa"/>
            <w:gridSpan w:val="8"/>
          </w:tcPr>
          <w:p w14:paraId="718327EB" w14:textId="7B87BF8C" w:rsidR="00C039E1" w:rsidRPr="00921944" w:rsidRDefault="00C039E1" w:rsidP="00BA2C8B">
            <w:pPr>
              <w:pStyle w:val="ListParagraph"/>
              <w:spacing w:before="120" w:after="120"/>
              <w:ind w:left="0"/>
              <w:contextualSpacing w:val="0"/>
              <w:rPr>
                <w:noProof/>
                <w:color w:val="auto"/>
                <w:sz w:val="18"/>
                <w:szCs w:val="18"/>
                <w:lang w:val="en-US"/>
              </w:rPr>
            </w:pPr>
            <w:r w:rsidRPr="00921944">
              <w:rPr>
                <w:noProof/>
                <w:color w:val="auto"/>
                <w:sz w:val="18"/>
                <w:szCs w:val="18"/>
                <w:lang w:val="en-US"/>
              </w:rPr>
              <w:lastRenderedPageBreak/>
              <w:t>Australian Hydrogen Hubs /Industrial Clusters</w:t>
            </w:r>
            <w:r w:rsidR="009B3FEB">
              <w:rPr>
                <w:noProof/>
                <w:color w:val="auto"/>
                <w:sz w:val="18"/>
                <w:szCs w:val="18"/>
                <w:lang w:val="en-US"/>
              </w:rPr>
              <w:t xml:space="preserve"> (Note: some hubs encompass the projects outlined above)</w:t>
            </w:r>
          </w:p>
        </w:tc>
      </w:tr>
      <w:tr w:rsidR="002800B9" w:rsidRPr="00921944" w14:paraId="3DA7F5C8" w14:textId="77777777" w:rsidTr="00F86782">
        <w:trPr>
          <w:trHeight w:val="77"/>
        </w:trPr>
        <w:tc>
          <w:tcPr>
            <w:cnfStyle w:val="001000000000" w:firstRow="0" w:lastRow="0" w:firstColumn="1" w:lastColumn="0" w:oddVBand="0" w:evenVBand="0" w:oddHBand="0" w:evenHBand="0" w:firstRowFirstColumn="0" w:firstRowLastColumn="0" w:lastRowFirstColumn="0" w:lastRowLastColumn="0"/>
            <w:tcW w:w="556" w:type="dxa"/>
          </w:tcPr>
          <w:p w14:paraId="09C0F06D" w14:textId="34EFF0B7" w:rsidR="00C039E1" w:rsidRPr="008E36AE" w:rsidRDefault="005A61ED" w:rsidP="00BA2C8B">
            <w:pPr>
              <w:pStyle w:val="ListParagraph"/>
              <w:ind w:left="0"/>
              <w:contextualSpacing w:val="0"/>
              <w:rPr>
                <w:caps/>
                <w:sz w:val="18"/>
                <w:szCs w:val="18"/>
                <w:lang w:val="en-US"/>
              </w:rPr>
            </w:pPr>
            <w:r>
              <w:rPr>
                <w:caps/>
                <w:sz w:val="18"/>
                <w:szCs w:val="18"/>
                <w:lang w:val="en-US"/>
              </w:rPr>
              <w:t>A</w:t>
            </w:r>
            <w:r w:rsidR="005D6E05" w:rsidRPr="008E36AE">
              <w:rPr>
                <w:caps/>
                <w:sz w:val="18"/>
                <w:szCs w:val="18"/>
                <w:lang w:val="en-US"/>
              </w:rPr>
              <w:t>.</w:t>
            </w:r>
          </w:p>
        </w:tc>
        <w:tc>
          <w:tcPr>
            <w:tcW w:w="3115" w:type="dxa"/>
          </w:tcPr>
          <w:p w14:paraId="49D4369A" w14:textId="7FB93AB8" w:rsidR="00C039E1" w:rsidRPr="00921944" w:rsidRDefault="00C039E1" w:rsidP="00BA2C8B">
            <w:pPr>
              <w:pStyle w:val="ListParagraph"/>
              <w:ind w:left="0" w:right="119"/>
              <w:contextualSpacing w:val="0"/>
              <w:jc w:val="both"/>
              <w:cnfStyle w:val="000000000000" w:firstRow="0" w:lastRow="0" w:firstColumn="0" w:lastColumn="0" w:oddVBand="0" w:evenVBand="0" w:oddHBand="0" w:evenHBand="0" w:firstRowFirstColumn="0" w:firstRowLastColumn="0" w:lastRowFirstColumn="0" w:lastRowLastColumn="0"/>
              <w:rPr>
                <w:b/>
                <w:bCs/>
                <w:sz w:val="18"/>
                <w:szCs w:val="18"/>
                <w:lang w:val="en-US"/>
              </w:rPr>
            </w:pPr>
            <w:r w:rsidRPr="00921944">
              <w:rPr>
                <w:b/>
                <w:bCs/>
                <w:sz w:val="18"/>
                <w:szCs w:val="18"/>
                <w:lang w:val="en-US"/>
              </w:rPr>
              <w:t>Hunter</w:t>
            </w:r>
            <w:r w:rsidR="00C42262">
              <w:rPr>
                <w:b/>
                <w:bCs/>
                <w:sz w:val="18"/>
                <w:szCs w:val="18"/>
                <w:lang w:val="en-US"/>
              </w:rPr>
              <w:t xml:space="preserve"> Region </w:t>
            </w:r>
            <w:r w:rsidR="00BC245B">
              <w:rPr>
                <w:b/>
                <w:bCs/>
                <w:sz w:val="18"/>
                <w:szCs w:val="18"/>
                <w:lang w:val="en-US"/>
              </w:rPr>
              <w:t xml:space="preserve">and </w:t>
            </w:r>
            <w:r w:rsidR="00C42262">
              <w:rPr>
                <w:b/>
                <w:bCs/>
                <w:sz w:val="18"/>
                <w:szCs w:val="18"/>
                <w:lang w:val="en-US"/>
              </w:rPr>
              <w:t>Port Kembla Hydrogen Hubs</w:t>
            </w:r>
          </w:p>
          <w:p w14:paraId="1AA621F4" w14:textId="36683FC4" w:rsidR="00245F6F" w:rsidRDefault="00C039E1" w:rsidP="00BA2C8B">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The NSW government has committed to spending $70 million</w:t>
            </w:r>
            <w:r w:rsidR="00C32CE4">
              <w:rPr>
                <w:color w:val="auto"/>
                <w:sz w:val="18"/>
                <w:szCs w:val="18"/>
                <w:lang w:val="en-US"/>
              </w:rPr>
              <w:t xml:space="preserve"> to develop hydrogen h</w:t>
            </w:r>
            <w:r w:rsidR="00245F6F">
              <w:rPr>
                <w:color w:val="auto"/>
                <w:sz w:val="18"/>
                <w:szCs w:val="18"/>
                <w:lang w:val="en-US"/>
              </w:rPr>
              <w:t>ubs in the state</w:t>
            </w:r>
            <w:r w:rsidR="00C32CE4">
              <w:rPr>
                <w:color w:val="auto"/>
                <w:sz w:val="18"/>
                <w:szCs w:val="18"/>
                <w:lang w:val="en-US"/>
              </w:rPr>
              <w:t xml:space="preserve"> </w:t>
            </w:r>
            <w:r w:rsidR="00245F6F">
              <w:rPr>
                <w:color w:val="auto"/>
                <w:sz w:val="18"/>
                <w:szCs w:val="18"/>
                <w:lang w:val="en-US"/>
              </w:rPr>
              <w:t xml:space="preserve">as part of the </w:t>
            </w:r>
            <w:r w:rsidRPr="00921944">
              <w:rPr>
                <w:color w:val="auto"/>
                <w:sz w:val="18"/>
                <w:szCs w:val="18"/>
                <w:lang w:val="en-US"/>
              </w:rPr>
              <w:t xml:space="preserve">$750 million Zero Industry and Innovation Program. </w:t>
            </w:r>
          </w:p>
          <w:p w14:paraId="6FF44C29" w14:textId="53E06AEB" w:rsidR="00615428" w:rsidRDefault="00C51AB7" w:rsidP="00BA2C8B">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color w:val="auto"/>
                <w:sz w:val="18"/>
                <w:szCs w:val="18"/>
                <w:lang w:val="en-US"/>
              </w:rPr>
              <w:t>As part of these plans the Hunter Region and Port Kembla have been proposed by NSW government as the state’s first hydrogen hubs.</w:t>
            </w:r>
            <w:r>
              <w:rPr>
                <w:color w:val="auto"/>
                <w:sz w:val="18"/>
                <w:szCs w:val="18"/>
                <w:lang w:val="en-US"/>
              </w:rPr>
              <w:fldChar w:fldCharType="begin" w:fldLock="1"/>
            </w:r>
            <w:r>
              <w:rPr>
                <w:color w:val="auto"/>
                <w:sz w:val="18"/>
                <w:szCs w:val="18"/>
                <w:lang w:val="en-US"/>
              </w:rPr>
              <w:instrText>ADDIN CSL_CITATION {"citationItems":[{"id":"ITEM-1","itemData":{"URL":"https://www.investregional.nsw.gov.au/news/first-steps-towards-port-kemblas-hydrogen-hub/","accessed":{"date-parts":[["2021","7","15"]]},"author":[{"dropping-particle":"","family":"NSW Government","given":"","non-dropping-particle":"","parse-names":false,"suffix":""}],"container-title":"Invest Regional","id":"ITEM-1","issued":{"date-parts":[["2021","3","25"]]},"title":"First steps towards Port Kembla’s hydrogen hub","type":"webpage"},"uris":["http://www.mendeley.com/documents/?uuid=f3956d1e-f04a-3c58-93d6-c15bbc51e951"]},{"id":"ITEM-2","itemData":{"URL":"https://www.investregional.nsw.gov.au/news/hunter-hydrogen-hub/","accessed":{"date-parts":[["2021","7","15"]]},"author":[{"dropping-particle":"","family":"NSW Government","given":"","non-dropping-particle":"","parse-names":false,"suffix":""}],"container-title":"Invest Regional","id":"ITEM-2","issued":{"date-parts":[["2021","3","12"]]},"title":"Hunter hydrogen hub announced","type":"webpage"},"uris":["http://www.mendeley.com/documents/?uuid=c1146096-53a9-326b-8ff0-b17d77ab94c4"]}],"mendeley":{"formattedCitation":"&lt;sup&gt;83,84&lt;/sup&gt;","plainTextFormattedCitation":"83,84","previouslyFormattedCitation":"&lt;sup&gt;83,84&lt;/sup&gt;"},"properties":{"noteIndex":0},"schema":"https://github.com/citation-style-language/schema/raw/master/csl-citation.json"}</w:instrText>
            </w:r>
            <w:r>
              <w:rPr>
                <w:color w:val="auto"/>
                <w:sz w:val="18"/>
                <w:szCs w:val="18"/>
                <w:lang w:val="en-US"/>
              </w:rPr>
              <w:fldChar w:fldCharType="separate"/>
            </w:r>
            <w:r w:rsidRPr="00BD7196">
              <w:rPr>
                <w:noProof/>
                <w:color w:val="auto"/>
                <w:sz w:val="18"/>
                <w:szCs w:val="18"/>
                <w:vertAlign w:val="superscript"/>
                <w:lang w:val="en-US"/>
              </w:rPr>
              <w:t>83,84</w:t>
            </w:r>
            <w:r>
              <w:rPr>
                <w:color w:val="auto"/>
                <w:sz w:val="18"/>
                <w:szCs w:val="18"/>
                <w:lang w:val="en-US"/>
              </w:rPr>
              <w:fldChar w:fldCharType="end"/>
            </w:r>
          </w:p>
          <w:p w14:paraId="6D3F9AD5" w14:textId="18DD64A7" w:rsidR="00C039E1" w:rsidRPr="00921944" w:rsidRDefault="00D266DB" w:rsidP="00BA2C8B">
            <w:pPr>
              <w:pStyle w:val="ListParagraph"/>
              <w:spacing w:before="240" w:after="120"/>
              <w:ind w:left="0" w:right="119"/>
              <w:contextualSpacing w:val="0"/>
              <w:jc w:val="both"/>
              <w:cnfStyle w:val="000000000000" w:firstRow="0" w:lastRow="0" w:firstColumn="0" w:lastColumn="0" w:oddVBand="0" w:evenVBand="0" w:oddHBand="0" w:evenHBand="0" w:firstRowFirstColumn="0" w:firstRowLastColumn="0" w:lastRowFirstColumn="0" w:lastRowLastColumn="0"/>
              <w:rPr>
                <w:sz w:val="18"/>
                <w:szCs w:val="18"/>
                <w:lang w:val="en-US"/>
              </w:rPr>
            </w:pPr>
            <w:r>
              <w:rPr>
                <w:color w:val="auto"/>
                <w:sz w:val="18"/>
                <w:szCs w:val="18"/>
                <w:lang w:val="en-US"/>
              </w:rPr>
              <w:t xml:space="preserve">Particularly </w:t>
            </w:r>
            <w:r w:rsidR="00BF1917">
              <w:rPr>
                <w:color w:val="auto"/>
                <w:sz w:val="18"/>
                <w:szCs w:val="18"/>
                <w:lang w:val="en-US"/>
              </w:rPr>
              <w:t>in Port Kembla,</w:t>
            </w:r>
            <w:r w:rsidR="00E66D1F">
              <w:rPr>
                <w:color w:val="auto"/>
                <w:sz w:val="18"/>
                <w:szCs w:val="18"/>
                <w:lang w:val="en-US"/>
              </w:rPr>
              <w:t xml:space="preserve"> the state government has recently provided A$0.5 million in funding to </w:t>
            </w:r>
            <w:proofErr w:type="spellStart"/>
            <w:r w:rsidR="00E66D1F">
              <w:rPr>
                <w:color w:val="auto"/>
                <w:sz w:val="18"/>
                <w:szCs w:val="18"/>
                <w:lang w:val="en-US"/>
              </w:rPr>
              <w:t>Coregas</w:t>
            </w:r>
            <w:proofErr w:type="spellEnd"/>
            <w:r w:rsidR="00E66D1F">
              <w:rPr>
                <w:color w:val="auto"/>
                <w:sz w:val="18"/>
                <w:szCs w:val="18"/>
                <w:lang w:val="en-US"/>
              </w:rPr>
              <w:t xml:space="preserve"> to develop </w:t>
            </w:r>
            <w:r w:rsidR="00665DF3">
              <w:rPr>
                <w:color w:val="auto"/>
                <w:sz w:val="18"/>
                <w:szCs w:val="18"/>
                <w:lang w:val="en-US"/>
              </w:rPr>
              <w:t>a hydrogen refueling station at their existing hydrogen plant at the port.</w:t>
            </w:r>
            <w:r w:rsidR="00C51AB7">
              <w:rPr>
                <w:color w:val="auto"/>
                <w:sz w:val="18"/>
                <w:szCs w:val="18"/>
                <w:lang w:val="en-US"/>
              </w:rPr>
              <w:fldChar w:fldCharType="begin" w:fldLock="1"/>
            </w:r>
            <w:r w:rsidR="00C51AB7">
              <w:rPr>
                <w:color w:val="auto"/>
                <w:sz w:val="18"/>
                <w:szCs w:val="18"/>
                <w:lang w:val="en-US"/>
              </w:rPr>
              <w:instrText>ADDIN CSL_CITATION {"citationItems":[{"id":"ITEM-1","itemData":{"URL":"https://www.investregional.nsw.gov.au/news/first-steps-towards-port-kemblas-hydrogen-hub/","accessed":{"date-parts":[["2021","7","15"]]},"author":[{"dropping-particle":"","family":"NSW Government","given":"","non-dropping-particle":"","parse-names":false,"suffix":""}],"container-title":"Invest Regional","id":"ITEM-1","issued":{"date-parts":[["2021","3","25"]]},"title":"First steps towards Port Kembla’s hydrogen hub","type":"webpage"},"uris":["http://www.mendeley.com/documents/?uuid=f3956d1e-f04a-3c58-93d6-c15bbc51e951"]}],"mendeley":{"formattedCitation":"&lt;sup&gt;83&lt;/sup&gt;","plainTextFormattedCitation":"83","previouslyFormattedCitation":"&lt;sup&gt;83&lt;/sup&gt;"},"properties":{"noteIndex":0},"schema":"https://github.com/citation-style-language/schema/raw/master/csl-citation.json"}</w:instrText>
            </w:r>
            <w:r w:rsidR="00C51AB7">
              <w:rPr>
                <w:color w:val="auto"/>
                <w:sz w:val="18"/>
                <w:szCs w:val="18"/>
                <w:lang w:val="en-US"/>
              </w:rPr>
              <w:fldChar w:fldCharType="separate"/>
            </w:r>
            <w:r w:rsidR="00C51AB7" w:rsidRPr="00BD7196">
              <w:rPr>
                <w:noProof/>
                <w:color w:val="auto"/>
                <w:sz w:val="18"/>
                <w:szCs w:val="18"/>
                <w:vertAlign w:val="superscript"/>
                <w:lang w:val="en-US"/>
              </w:rPr>
              <w:t>83</w:t>
            </w:r>
            <w:r w:rsidR="00C51AB7">
              <w:rPr>
                <w:color w:val="auto"/>
                <w:sz w:val="18"/>
                <w:szCs w:val="18"/>
                <w:lang w:val="en-US"/>
              </w:rPr>
              <w:fldChar w:fldCharType="end"/>
            </w:r>
          </w:p>
        </w:tc>
        <w:tc>
          <w:tcPr>
            <w:tcW w:w="1620" w:type="dxa"/>
          </w:tcPr>
          <w:p w14:paraId="3C23D9AF"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Hunter Region,</w:t>
            </w:r>
          </w:p>
          <w:p w14:paraId="51E538F9" w14:textId="77777777" w:rsidR="00C039E1"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NSW</w:t>
            </w:r>
          </w:p>
          <w:p w14:paraId="3D181835" w14:textId="77777777" w:rsidR="00BE7A59" w:rsidRDefault="00BE7A59"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p w14:paraId="541240F0" w14:textId="63E051EC" w:rsidR="00BE7A59" w:rsidRDefault="00C42262"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Port Kembla</w:t>
            </w:r>
            <w:r w:rsidR="005057A2">
              <w:rPr>
                <w:sz w:val="18"/>
                <w:szCs w:val="18"/>
                <w:lang w:val="en-US"/>
              </w:rPr>
              <w:t>,</w:t>
            </w:r>
          </w:p>
          <w:p w14:paraId="4662F59A" w14:textId="0700E587" w:rsidR="00C039E1" w:rsidRPr="00921944" w:rsidRDefault="005057A2"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NSW</w:t>
            </w:r>
          </w:p>
        </w:tc>
        <w:tc>
          <w:tcPr>
            <w:tcW w:w="2059" w:type="dxa"/>
          </w:tcPr>
          <w:p w14:paraId="5D74E56B"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N.A.</w:t>
            </w:r>
          </w:p>
        </w:tc>
        <w:tc>
          <w:tcPr>
            <w:tcW w:w="2064" w:type="dxa"/>
          </w:tcPr>
          <w:p w14:paraId="689216DB"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Large scale hydrogen hub</w:t>
            </w:r>
          </w:p>
        </w:tc>
        <w:tc>
          <w:tcPr>
            <w:tcW w:w="1426" w:type="dxa"/>
          </w:tcPr>
          <w:p w14:paraId="4783B95B" w14:textId="36F58663"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28F7470C" wp14:editId="18CDE235">
                  <wp:extent cx="461882" cy="477078"/>
                  <wp:effectExtent l="0" t="0" r="0" b="0"/>
                  <wp:docPr id="136" name="Picture 1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236AC42F" w14:textId="78AE897D"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4935E168" wp14:editId="7F11ACC5">
                  <wp:extent cx="461882" cy="477078"/>
                  <wp:effectExtent l="0" t="0" r="0" b="0"/>
                  <wp:docPr id="137" name="Picture 1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tcPr>
          <w:p w14:paraId="51F4F6AC" w14:textId="5F77FFB0"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noProof/>
                <w:sz w:val="18"/>
                <w:szCs w:val="18"/>
                <w:lang w:val="en-US"/>
              </w:rPr>
            </w:pPr>
            <w:r w:rsidRPr="00921944">
              <w:rPr>
                <w:noProof/>
                <w:sz w:val="18"/>
                <w:szCs w:val="18"/>
                <w:lang w:val="en-US"/>
              </w:rPr>
              <w:t>Early stages of development</w:t>
            </w:r>
          </w:p>
        </w:tc>
      </w:tr>
      <w:tr w:rsidR="00EA2883" w:rsidRPr="00921944" w14:paraId="6BF8E368" w14:textId="77777777" w:rsidTr="00F86782">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56" w:type="dxa"/>
          </w:tcPr>
          <w:p w14:paraId="70F5F430" w14:textId="377E3BCA" w:rsidR="00C039E1" w:rsidRPr="008E36AE" w:rsidRDefault="005A61ED" w:rsidP="00BA2C8B">
            <w:pPr>
              <w:pStyle w:val="ListParagraph"/>
              <w:ind w:left="0"/>
              <w:contextualSpacing w:val="0"/>
              <w:rPr>
                <w:caps/>
                <w:sz w:val="18"/>
                <w:szCs w:val="18"/>
                <w:lang w:val="en-US"/>
              </w:rPr>
            </w:pPr>
            <w:r>
              <w:rPr>
                <w:caps/>
                <w:sz w:val="18"/>
                <w:szCs w:val="18"/>
                <w:lang w:val="en-US"/>
              </w:rPr>
              <w:t>b</w:t>
            </w:r>
            <w:r w:rsidR="005D6E05" w:rsidRPr="008E36AE">
              <w:rPr>
                <w:caps/>
                <w:sz w:val="18"/>
                <w:szCs w:val="18"/>
                <w:lang w:val="en-US"/>
              </w:rPr>
              <w:t>.</w:t>
            </w:r>
          </w:p>
        </w:tc>
        <w:tc>
          <w:tcPr>
            <w:tcW w:w="3115" w:type="dxa"/>
          </w:tcPr>
          <w:p w14:paraId="26A5C382" w14:textId="5F49A680" w:rsidR="00C039E1" w:rsidRPr="00921944" w:rsidRDefault="00C039E1" w:rsidP="00BA2C8B">
            <w:pPr>
              <w:pStyle w:val="ListParagraph"/>
              <w:ind w:left="0" w:right="119"/>
              <w:contextualSpacing w:val="0"/>
              <w:jc w:val="both"/>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b/>
                <w:bCs/>
                <w:sz w:val="18"/>
                <w:szCs w:val="18"/>
                <w:lang w:val="en-US"/>
              </w:rPr>
              <w:t xml:space="preserve">Bell Bay Hydrogen Hub </w:t>
            </w:r>
          </w:p>
          <w:p w14:paraId="1A59E4DA" w14:textId="1250109F" w:rsidR="00CD289F" w:rsidRDefault="00C039E1" w:rsidP="00A2489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The Bell Bay Advanced Manufacturing </w:t>
            </w:r>
            <w:r w:rsidR="00BD4506">
              <w:rPr>
                <w:color w:val="auto"/>
                <w:sz w:val="18"/>
                <w:szCs w:val="18"/>
                <w:lang w:val="en-US"/>
              </w:rPr>
              <w:t>Z</w:t>
            </w:r>
            <w:r w:rsidR="00BD4506" w:rsidRPr="00921944">
              <w:rPr>
                <w:color w:val="auto"/>
                <w:sz w:val="18"/>
                <w:szCs w:val="18"/>
                <w:lang w:val="en-US"/>
              </w:rPr>
              <w:t xml:space="preserve">one </w:t>
            </w:r>
            <w:r w:rsidRPr="00921944">
              <w:rPr>
                <w:color w:val="auto"/>
                <w:sz w:val="18"/>
                <w:szCs w:val="18"/>
                <w:lang w:val="en-US"/>
              </w:rPr>
              <w:t>has been established as a hydrogen hub</w:t>
            </w:r>
            <w:r w:rsidR="00CD289F">
              <w:rPr>
                <w:color w:val="auto"/>
                <w:sz w:val="18"/>
                <w:szCs w:val="18"/>
                <w:lang w:val="en-US"/>
              </w:rPr>
              <w:t xml:space="preserve"> by the Tasmanian Government</w:t>
            </w:r>
            <w:r w:rsidRPr="00921944">
              <w:rPr>
                <w:color w:val="auto"/>
                <w:sz w:val="18"/>
                <w:szCs w:val="18"/>
                <w:lang w:val="en-US"/>
              </w:rPr>
              <w:t xml:space="preserve">. The zone is already being investigated for large hydrogen projects by Fortescue, ABEL energy and Origin </w:t>
            </w:r>
            <w:r w:rsidR="007E41BD">
              <w:rPr>
                <w:color w:val="auto"/>
                <w:sz w:val="18"/>
                <w:szCs w:val="18"/>
                <w:lang w:val="en-US"/>
              </w:rPr>
              <w:t>E</w:t>
            </w:r>
            <w:r w:rsidR="007E41BD" w:rsidRPr="00921944">
              <w:rPr>
                <w:color w:val="auto"/>
                <w:sz w:val="18"/>
                <w:szCs w:val="18"/>
                <w:lang w:val="en-US"/>
              </w:rPr>
              <w:t>nergy</w:t>
            </w:r>
            <w:r w:rsidRPr="00921944">
              <w:rPr>
                <w:color w:val="auto"/>
                <w:sz w:val="18"/>
                <w:szCs w:val="18"/>
                <w:lang w:val="en-US"/>
              </w:rPr>
              <w:t xml:space="preserve">. </w:t>
            </w:r>
          </w:p>
          <w:p w14:paraId="10A764CE" w14:textId="77777777" w:rsidR="00775139" w:rsidRDefault="00CD289F" w:rsidP="00A2489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Pr>
                <w:color w:val="auto"/>
                <w:sz w:val="18"/>
                <w:szCs w:val="18"/>
                <w:lang w:val="en-US"/>
              </w:rPr>
              <w:t xml:space="preserve">The Tasmanian Government is also proposing another hydrogen hub in Burnie, </w:t>
            </w:r>
            <w:r w:rsidR="00483313">
              <w:rPr>
                <w:color w:val="auto"/>
                <w:sz w:val="18"/>
                <w:szCs w:val="18"/>
                <w:lang w:val="en-US"/>
              </w:rPr>
              <w:t>Tasmania</w:t>
            </w:r>
            <w:r w:rsidR="00C039E1" w:rsidRPr="00921944">
              <w:rPr>
                <w:color w:val="auto"/>
                <w:sz w:val="18"/>
                <w:szCs w:val="18"/>
                <w:lang w:val="en-US"/>
              </w:rPr>
              <w:t xml:space="preserve">. The state and federal governments will collaborate with stakeholders to develop hydrogen projects in these hubs. </w:t>
            </w:r>
          </w:p>
          <w:p w14:paraId="404A259F" w14:textId="2666851B" w:rsidR="00C039E1" w:rsidRPr="00921944" w:rsidRDefault="00C51AB7" w:rsidP="00A24890">
            <w:pPr>
              <w:pStyle w:val="ListParagraph"/>
              <w:spacing w:before="240" w:after="120"/>
              <w:ind w:left="0" w:right="119"/>
              <w:contextualSpacing w:val="0"/>
              <w:cnfStyle w:val="000000010000" w:firstRow="0" w:lastRow="0" w:firstColumn="0" w:lastColumn="0" w:oddVBand="0" w:evenVBand="0" w:oddHBand="0" w:evenHBand="1" w:firstRowFirstColumn="0" w:firstRowLastColumn="0" w:lastRowFirstColumn="0" w:lastRowLastColumn="0"/>
              <w:rPr>
                <w:b/>
                <w:bCs/>
                <w:sz w:val="18"/>
                <w:szCs w:val="18"/>
                <w:lang w:val="en-US"/>
              </w:rPr>
            </w:pPr>
            <w:r w:rsidRPr="00921944">
              <w:rPr>
                <w:color w:val="auto"/>
                <w:sz w:val="18"/>
                <w:szCs w:val="18"/>
                <w:lang w:val="en-US"/>
              </w:rPr>
              <w:t xml:space="preserve">The state government has made $20 million available in funding as </w:t>
            </w:r>
            <w:r w:rsidRPr="00921944">
              <w:rPr>
                <w:color w:val="auto"/>
                <w:sz w:val="18"/>
                <w:szCs w:val="18"/>
                <w:lang w:val="en-US"/>
              </w:rPr>
              <w:lastRenderedPageBreak/>
              <w:t>part of the Tasmanian Renewable Hydrogen Fund</w:t>
            </w:r>
            <w:r>
              <w:rPr>
                <w:color w:val="auto"/>
                <w:sz w:val="18"/>
                <w:szCs w:val="18"/>
                <w:lang w:val="en-US"/>
              </w:rPr>
              <w:t xml:space="preserve"> to </w:t>
            </w:r>
            <w:r w:rsidRPr="00921944">
              <w:rPr>
                <w:color w:val="auto"/>
                <w:sz w:val="18"/>
                <w:szCs w:val="18"/>
                <w:lang w:val="en-US"/>
              </w:rPr>
              <w:t>support potential projects.</w:t>
            </w:r>
            <w:r>
              <w:rPr>
                <w:color w:val="auto"/>
                <w:sz w:val="18"/>
                <w:szCs w:val="18"/>
                <w:lang w:val="en-US"/>
              </w:rPr>
              <w:fldChar w:fldCharType="begin" w:fldLock="1"/>
            </w:r>
            <w:r>
              <w:rPr>
                <w:color w:val="auto"/>
                <w:sz w:val="18"/>
                <w:szCs w:val="18"/>
                <w:lang w:val="en-US"/>
              </w:rPr>
              <w:instrText>ADDIN CSL_CITATION {"citationItems":[{"id":"ITEM-1","itemData":{"URL":"http://www.premier.tas.gov.au/site_resources_2015/additional_releases/renewable_hydrogen_set_to_take_off_in_tasmania","accessed":{"date-parts":[["2021","7","23"]]},"author":[{"dropping-particle":"","family":"Barnett","given":"G.","non-dropping-particle":"","parse-names":false,"suffix":""},{"dropping-particle":"","family":"Ferguson","given":"M.","non-dropping-particle":"","parse-names":false,"suffix":""}],"container-title":"Press Release","id":"ITEM-1","issued":{"date-parts":[["2020"]]},"title":"Renewable hydrogen set to take off in Tasmania - Premier of Tasmania","type":"webpage"},"uris":["http://www.mendeley.com/documents/?uuid=ad2b27a2-3105-3bdb-8399-682440f8453c"]},{"id":"ITEM-2","itemData":{"URL":"https://www.abc.net.au/news/2020-03-02/hydrogen-energy-tasmania-government-to-invest-millions/12015654","accessed":{"date-parts":[["2021","7","23"]]},"author":[{"dropping-particle":"","family":"Howarth","given":"Carla","non-dropping-particle":"","parse-names":false,"suffix":""}],"container-title":"ABC News","id":"ITEM-2","issued":{"date-parts":[["2020"]]},"title":"Tasmanian Government to invest $50m in hydrogen power plan ","type":"webpage"},"uris":["http://www.mendeley.com/documents/?uuid=8b412ceb-c59d-362c-9bcb-8b6e6e38e3a1"]}],"mendeley":{"formattedCitation":"&lt;sup&gt;85,86&lt;/sup&gt;","plainTextFormattedCitation":"85,86","previouslyFormattedCitation":"&lt;sup&gt;85,86&lt;/sup&gt;"},"properties":{"noteIndex":0},"schema":"https://github.com/citation-style-language/schema/raw/master/csl-citation.json"}</w:instrText>
            </w:r>
            <w:r>
              <w:rPr>
                <w:color w:val="auto"/>
                <w:sz w:val="18"/>
                <w:szCs w:val="18"/>
                <w:lang w:val="en-US"/>
              </w:rPr>
              <w:fldChar w:fldCharType="separate"/>
            </w:r>
            <w:r w:rsidRPr="00BD7196">
              <w:rPr>
                <w:noProof/>
                <w:color w:val="auto"/>
                <w:sz w:val="18"/>
                <w:szCs w:val="18"/>
                <w:vertAlign w:val="superscript"/>
                <w:lang w:val="en-US"/>
              </w:rPr>
              <w:t>85,86</w:t>
            </w:r>
            <w:r>
              <w:rPr>
                <w:color w:val="auto"/>
                <w:sz w:val="18"/>
                <w:szCs w:val="18"/>
                <w:lang w:val="en-US"/>
              </w:rPr>
              <w:fldChar w:fldCharType="end"/>
            </w:r>
            <w:r w:rsidRPr="00921944">
              <w:rPr>
                <w:color w:val="auto"/>
                <w:sz w:val="18"/>
                <w:szCs w:val="18"/>
                <w:lang w:val="en-US"/>
              </w:rPr>
              <w:t xml:space="preserve"> </w:t>
            </w:r>
          </w:p>
        </w:tc>
        <w:tc>
          <w:tcPr>
            <w:tcW w:w="1620" w:type="dxa"/>
          </w:tcPr>
          <w:p w14:paraId="779224F7"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lastRenderedPageBreak/>
              <w:t>Bell Bay,</w:t>
            </w:r>
          </w:p>
          <w:p w14:paraId="3CA120A0"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Tas.</w:t>
            </w:r>
          </w:p>
        </w:tc>
        <w:tc>
          <w:tcPr>
            <w:tcW w:w="2059" w:type="dxa"/>
          </w:tcPr>
          <w:p w14:paraId="0C6D6E93"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N.A.</w:t>
            </w:r>
          </w:p>
        </w:tc>
        <w:tc>
          <w:tcPr>
            <w:tcW w:w="2064" w:type="dxa"/>
          </w:tcPr>
          <w:p w14:paraId="5D37A5B6"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sz w:val="18"/>
                <w:szCs w:val="18"/>
                <w:lang w:val="en-US"/>
              </w:rPr>
            </w:pPr>
            <w:r w:rsidRPr="00921944">
              <w:rPr>
                <w:sz w:val="18"/>
                <w:szCs w:val="18"/>
                <w:lang w:val="en-US"/>
              </w:rPr>
              <w:t>Large scale hydrogen hub</w:t>
            </w:r>
          </w:p>
        </w:tc>
        <w:tc>
          <w:tcPr>
            <w:tcW w:w="1426" w:type="dxa"/>
          </w:tcPr>
          <w:p w14:paraId="3ADD2CAE" w14:textId="6CC60A96" w:rsidR="00C039E1" w:rsidRPr="00921944" w:rsidRDefault="28449894"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69E54B93" wp14:editId="741B8B05">
                  <wp:extent cx="461882" cy="477078"/>
                  <wp:effectExtent l="0" t="0" r="0" b="0"/>
                  <wp:docPr id="148" name="Picture 1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5207E8D3" w14:textId="126D63AE" w:rsidR="00C039E1" w:rsidRPr="00921944" w:rsidRDefault="28449894"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sz w:val="18"/>
                <w:szCs w:val="18"/>
              </w:rPr>
            </w:pPr>
            <w:r>
              <w:rPr>
                <w:noProof/>
              </w:rPr>
              <w:drawing>
                <wp:inline distT="0" distB="0" distL="0" distR="0" wp14:anchorId="0A3AB1E9" wp14:editId="12DAC2DA">
                  <wp:extent cx="461882" cy="477078"/>
                  <wp:effectExtent l="0" t="0" r="0" b="0"/>
                  <wp:docPr id="149" name="Picture 1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tcPr>
          <w:p w14:paraId="147BC9C9" w14:textId="1BEF86B6"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noProof/>
                <w:sz w:val="18"/>
                <w:szCs w:val="18"/>
                <w:lang w:val="en-US"/>
              </w:rPr>
            </w:pPr>
            <w:r w:rsidRPr="00921944">
              <w:rPr>
                <w:noProof/>
                <w:sz w:val="18"/>
                <w:szCs w:val="18"/>
                <w:lang w:val="en-US"/>
              </w:rPr>
              <w:t>Several projects are already undergoing feasibility studies.</w:t>
            </w:r>
          </w:p>
        </w:tc>
      </w:tr>
      <w:tr w:rsidR="002800B9" w:rsidRPr="00921944" w14:paraId="06611EA4" w14:textId="77777777" w:rsidTr="00F86782">
        <w:trPr>
          <w:trHeight w:val="77"/>
        </w:trPr>
        <w:tc>
          <w:tcPr>
            <w:cnfStyle w:val="001000000000" w:firstRow="0" w:lastRow="0" w:firstColumn="1" w:lastColumn="0" w:oddVBand="0" w:evenVBand="0" w:oddHBand="0" w:evenHBand="0" w:firstRowFirstColumn="0" w:firstRowLastColumn="0" w:lastRowFirstColumn="0" w:lastRowLastColumn="0"/>
            <w:tcW w:w="556" w:type="dxa"/>
          </w:tcPr>
          <w:p w14:paraId="4639003F" w14:textId="2891F78E" w:rsidR="00C039E1" w:rsidRPr="008E36AE" w:rsidRDefault="005A61ED" w:rsidP="00BA2C8B">
            <w:pPr>
              <w:pStyle w:val="ListParagraph"/>
              <w:ind w:left="0"/>
              <w:contextualSpacing w:val="0"/>
              <w:rPr>
                <w:caps/>
                <w:sz w:val="18"/>
                <w:szCs w:val="18"/>
                <w:lang w:val="en-US"/>
              </w:rPr>
            </w:pPr>
            <w:r>
              <w:rPr>
                <w:caps/>
                <w:sz w:val="18"/>
                <w:szCs w:val="18"/>
                <w:lang w:val="en-US"/>
              </w:rPr>
              <w:t>C</w:t>
            </w:r>
            <w:r w:rsidR="00C51AB7" w:rsidRPr="008E36AE">
              <w:rPr>
                <w:caps/>
                <w:sz w:val="18"/>
                <w:szCs w:val="18"/>
                <w:lang w:val="en-US"/>
              </w:rPr>
              <w:t>.</w:t>
            </w:r>
          </w:p>
        </w:tc>
        <w:tc>
          <w:tcPr>
            <w:tcW w:w="3115" w:type="dxa"/>
          </w:tcPr>
          <w:p w14:paraId="13CB4748"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b/>
                <w:bCs/>
                <w:color w:val="auto"/>
                <w:sz w:val="18"/>
                <w:szCs w:val="18"/>
                <w:lang w:val="en-US"/>
              </w:rPr>
            </w:pPr>
            <w:r w:rsidRPr="00921944">
              <w:rPr>
                <w:b/>
                <w:bCs/>
                <w:color w:val="auto"/>
                <w:sz w:val="18"/>
                <w:szCs w:val="18"/>
                <w:lang w:val="en-US"/>
              </w:rPr>
              <w:t>South Australia Hydrogen Hub</w:t>
            </w:r>
          </w:p>
          <w:p w14:paraId="787A5930" w14:textId="72A00F67" w:rsidR="00C039E1" w:rsidRPr="00921944" w:rsidRDefault="00C039E1" w:rsidP="00BA2C8B">
            <w:pPr>
              <w:pStyle w:val="ListParagraph"/>
              <w:spacing w:before="240" w:after="120"/>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 xml:space="preserve">The </w:t>
            </w:r>
            <w:r w:rsidR="00827DEA">
              <w:rPr>
                <w:color w:val="auto"/>
                <w:sz w:val="18"/>
                <w:szCs w:val="18"/>
                <w:lang w:val="en-US"/>
              </w:rPr>
              <w:t>F</w:t>
            </w:r>
            <w:r w:rsidR="00827DEA" w:rsidRPr="00921944">
              <w:rPr>
                <w:color w:val="auto"/>
                <w:sz w:val="18"/>
                <w:szCs w:val="18"/>
                <w:lang w:val="en-US"/>
              </w:rPr>
              <w:t xml:space="preserve">ederal </w:t>
            </w:r>
            <w:r w:rsidRPr="00921944">
              <w:rPr>
                <w:color w:val="auto"/>
                <w:sz w:val="18"/>
                <w:szCs w:val="18"/>
                <w:lang w:val="en-US"/>
              </w:rPr>
              <w:t xml:space="preserve">government has committed </w:t>
            </w:r>
            <w:r w:rsidR="000211CD">
              <w:rPr>
                <w:color w:val="auto"/>
                <w:sz w:val="18"/>
                <w:szCs w:val="18"/>
                <w:lang w:val="en-US"/>
              </w:rPr>
              <w:t>A</w:t>
            </w:r>
            <w:r w:rsidRPr="00921944">
              <w:rPr>
                <w:color w:val="auto"/>
                <w:sz w:val="18"/>
                <w:szCs w:val="18"/>
                <w:lang w:val="en-US"/>
              </w:rPr>
              <w:t xml:space="preserve">$400 million in funding </w:t>
            </w:r>
            <w:r w:rsidR="00517CBD">
              <w:rPr>
                <w:color w:val="auto"/>
                <w:sz w:val="18"/>
                <w:szCs w:val="18"/>
                <w:lang w:val="en-US"/>
              </w:rPr>
              <w:t xml:space="preserve">for high priority renewable energy projects including </w:t>
            </w:r>
            <w:r w:rsidRPr="00921944">
              <w:rPr>
                <w:color w:val="auto"/>
                <w:sz w:val="18"/>
                <w:szCs w:val="18"/>
                <w:lang w:val="en-US"/>
              </w:rPr>
              <w:t xml:space="preserve">hydrogen as part of the </w:t>
            </w:r>
            <w:r w:rsidR="000211CD">
              <w:rPr>
                <w:color w:val="auto"/>
                <w:sz w:val="18"/>
                <w:szCs w:val="18"/>
                <w:lang w:val="en-US"/>
              </w:rPr>
              <w:t>A</w:t>
            </w:r>
            <w:r w:rsidRPr="00921944">
              <w:rPr>
                <w:color w:val="auto"/>
                <w:sz w:val="18"/>
                <w:szCs w:val="18"/>
                <w:lang w:val="en-US"/>
              </w:rPr>
              <w:t>$1 billion energy deal for South Australia.</w:t>
            </w:r>
            <w:r w:rsidR="00C51AB7" w:rsidRPr="00921944">
              <w:rPr>
                <w:color w:val="auto"/>
                <w:sz w:val="18"/>
                <w:szCs w:val="18"/>
                <w:lang w:val="en-US"/>
              </w:rPr>
              <w:fldChar w:fldCharType="begin" w:fldLock="1"/>
            </w:r>
            <w:r w:rsidR="00C51AB7">
              <w:rPr>
                <w:color w:val="auto"/>
                <w:sz w:val="18"/>
                <w:szCs w:val="18"/>
                <w:lang w:val="en-US"/>
              </w:rPr>
              <w:instrText>ADDIN CSL_CITATION {"citationItems":[{"id":"ITEM-1","itemData":{"URL":"https://www.abc.net.au/news/2021-04-18/energy-and-emissions-reduction-deal-south-australia/100077114","accessed":{"date-parts":[["2021","4","21"]]},"container-title":"ABC News","id":"ITEM-1","issued":{"date-parts":[["2021"]]},"title":"Scott Morrison reveals $1bn energy deal with South Australian government","type":"webpage"},"uris":["http://www.mendeley.com/documents/?uuid=de1f15a4-7124-3817-a1d0-589af8ad9bf8"]}],"mendeley":{"formattedCitation":"&lt;sup&gt;87&lt;/sup&gt;","plainTextFormattedCitation":"87","previouslyFormattedCitation":"&lt;sup&gt;87&lt;/sup&gt;"},"properties":{"noteIndex":0},"schema":"https://github.com/citation-style-language/schema/raw/master/csl-citation.json"}</w:instrText>
            </w:r>
            <w:r w:rsidR="00C51AB7" w:rsidRPr="00921944">
              <w:rPr>
                <w:color w:val="auto"/>
                <w:sz w:val="18"/>
                <w:szCs w:val="18"/>
                <w:lang w:val="en-US"/>
              </w:rPr>
              <w:fldChar w:fldCharType="separate"/>
            </w:r>
            <w:r w:rsidR="00C51AB7" w:rsidRPr="00BD7196">
              <w:rPr>
                <w:noProof/>
                <w:color w:val="auto"/>
                <w:sz w:val="18"/>
                <w:szCs w:val="18"/>
                <w:vertAlign w:val="superscript"/>
                <w:lang w:val="en-US"/>
              </w:rPr>
              <w:t>87</w:t>
            </w:r>
            <w:r w:rsidR="00C51AB7" w:rsidRPr="00921944">
              <w:rPr>
                <w:color w:val="auto"/>
                <w:sz w:val="18"/>
                <w:szCs w:val="18"/>
                <w:lang w:val="en-US"/>
              </w:rPr>
              <w:fldChar w:fldCharType="end"/>
            </w:r>
          </w:p>
          <w:p w14:paraId="08BC83F2" w14:textId="2308BD83" w:rsidR="00C039E1" w:rsidRPr="00921944" w:rsidRDefault="00C51AB7" w:rsidP="00BA2C8B">
            <w:pPr>
              <w:pStyle w:val="ListParagraph"/>
              <w:spacing w:before="240" w:after="120"/>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The funding will be potentially utilized to develop hydrogen hubs identified by the South Australian Government in</w:t>
            </w:r>
            <w:r w:rsidRPr="00921944">
              <w:rPr>
                <w:color w:val="auto"/>
                <w:sz w:val="18"/>
                <w:szCs w:val="18"/>
                <w:lang w:val="en-US"/>
              </w:rPr>
              <w:fldChar w:fldCharType="begin" w:fldLock="1"/>
            </w:r>
            <w:r>
              <w:rPr>
                <w:color w:val="auto"/>
                <w:sz w:val="18"/>
                <w:szCs w:val="18"/>
                <w:lang w:val="en-US"/>
              </w:rPr>
              <w:instrText>ADDIN CSL_CITATION {"citationItems":[{"id":"ITEM-1","itemData":{"URL":"https://www.h2-view.com/story/morrisons-1bn-energy-deal-with-south-australia-includes-funding-for-priority-areas-such-as-hydrogen/","accessed":{"date-parts":[["2021","4","21"]]},"author":[{"dropping-particle":"","family":"Heynes","given":"George","non-dropping-particle":"","parse-names":false,"suffix":""}],"container-title":"H2View","id":"ITEM-1","issued":{"date-parts":[["2021","4","19"]]},"title":"Morrison’s $1bn energy deal with South Australia includes funding for ‘priority’ areas such as hydrogen","type":"webpage"},"uris":["http://www.mendeley.com/documents/?uuid=d9208c89-f910-3a7c-b8a7-7d1f9de566c5"]}],"mendeley":{"formattedCitation":"&lt;sup&gt;88&lt;/sup&gt;","plainTextFormattedCitation":"88","previouslyFormattedCitation":"&lt;sup&gt;88&lt;/sup&gt;"},"properties":{"noteIndex":0},"schema":"https://github.com/citation-style-language/schema/raw/master/csl-citation.json"}</w:instrText>
            </w:r>
            <w:r w:rsidRPr="00921944">
              <w:rPr>
                <w:color w:val="auto"/>
                <w:sz w:val="18"/>
                <w:szCs w:val="18"/>
                <w:lang w:val="en-US"/>
              </w:rPr>
              <w:fldChar w:fldCharType="separate"/>
            </w:r>
            <w:r w:rsidRPr="00BD7196">
              <w:rPr>
                <w:noProof/>
                <w:color w:val="auto"/>
                <w:sz w:val="18"/>
                <w:szCs w:val="18"/>
                <w:vertAlign w:val="superscript"/>
                <w:lang w:val="en-US"/>
              </w:rPr>
              <w:t>88</w:t>
            </w:r>
            <w:r w:rsidRPr="00921944">
              <w:rPr>
                <w:color w:val="auto"/>
                <w:sz w:val="18"/>
                <w:szCs w:val="18"/>
                <w:lang w:val="en-US"/>
              </w:rPr>
              <w:fldChar w:fldCharType="end"/>
            </w:r>
            <w:r w:rsidRPr="00921944">
              <w:rPr>
                <w:color w:val="auto"/>
                <w:sz w:val="18"/>
                <w:szCs w:val="18"/>
                <w:lang w:val="en-US"/>
              </w:rPr>
              <w:t xml:space="preserve">: </w:t>
            </w:r>
          </w:p>
          <w:p w14:paraId="431E97FB" w14:textId="52759CB3" w:rsidR="00C039E1" w:rsidRPr="00921944" w:rsidRDefault="005A61ED" w:rsidP="00BA2C8B">
            <w:pPr>
              <w:pStyle w:val="ListParagraph"/>
              <w:spacing w:before="80" w:after="80"/>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b/>
                <w:bCs/>
                <w:color w:val="auto"/>
                <w:sz w:val="18"/>
                <w:szCs w:val="18"/>
                <w:lang w:val="en-US"/>
              </w:rPr>
              <w:t>D</w:t>
            </w:r>
            <w:r w:rsidR="00C039E1" w:rsidRPr="00921944">
              <w:rPr>
                <w:b/>
                <w:bCs/>
                <w:color w:val="auto"/>
                <w:sz w:val="18"/>
                <w:szCs w:val="18"/>
                <w:lang w:val="en-US"/>
              </w:rPr>
              <w:t>.</w:t>
            </w:r>
            <w:r w:rsidR="00C039E1" w:rsidRPr="00921944">
              <w:rPr>
                <w:color w:val="auto"/>
                <w:sz w:val="18"/>
                <w:szCs w:val="18"/>
                <w:lang w:val="en-US"/>
              </w:rPr>
              <w:t xml:space="preserve"> Port Bonython: The site is already home to the Eyre Peninsula Hydrogen Project (#23). </w:t>
            </w:r>
          </w:p>
          <w:p w14:paraId="07B95373" w14:textId="521354C9" w:rsidR="00C039E1" w:rsidRPr="00921944" w:rsidRDefault="005A61ED" w:rsidP="00BA2C8B">
            <w:pPr>
              <w:pStyle w:val="ListParagraph"/>
              <w:spacing w:before="80" w:after="80"/>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b/>
                <w:bCs/>
                <w:color w:val="auto"/>
                <w:sz w:val="18"/>
                <w:szCs w:val="18"/>
                <w:lang w:val="en-US"/>
              </w:rPr>
              <w:t>E</w:t>
            </w:r>
            <w:r w:rsidR="00C039E1" w:rsidRPr="00921944">
              <w:rPr>
                <w:b/>
                <w:bCs/>
                <w:color w:val="auto"/>
                <w:sz w:val="18"/>
                <w:szCs w:val="18"/>
                <w:lang w:val="en-US"/>
              </w:rPr>
              <w:t xml:space="preserve">. </w:t>
            </w:r>
            <w:r w:rsidR="00C039E1" w:rsidRPr="00921944">
              <w:rPr>
                <w:color w:val="auto"/>
                <w:sz w:val="18"/>
                <w:szCs w:val="18"/>
                <w:lang w:val="en-US"/>
              </w:rPr>
              <w:t>Port Adelaide</w:t>
            </w:r>
          </w:p>
          <w:p w14:paraId="6BC31F64" w14:textId="3EDBBDCC" w:rsidR="00C039E1" w:rsidRPr="00921944" w:rsidRDefault="005A61ED" w:rsidP="00BA2C8B">
            <w:pPr>
              <w:pStyle w:val="ListParagraph"/>
              <w:spacing w:before="80" w:after="80"/>
              <w:ind w:left="0"/>
              <w:contextualSpacing w:val="0"/>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Pr>
                <w:b/>
                <w:bCs/>
                <w:color w:val="auto"/>
                <w:sz w:val="18"/>
                <w:szCs w:val="18"/>
                <w:lang w:val="en-US"/>
              </w:rPr>
              <w:t>F</w:t>
            </w:r>
            <w:r w:rsidR="00C039E1" w:rsidRPr="00921944">
              <w:rPr>
                <w:b/>
                <w:bCs/>
                <w:color w:val="auto"/>
                <w:sz w:val="18"/>
                <w:szCs w:val="18"/>
                <w:lang w:val="en-US"/>
              </w:rPr>
              <w:t xml:space="preserve">. </w:t>
            </w:r>
            <w:r w:rsidR="00C039E1" w:rsidRPr="00921944">
              <w:rPr>
                <w:color w:val="auto"/>
                <w:sz w:val="18"/>
                <w:szCs w:val="18"/>
                <w:lang w:val="en-US"/>
              </w:rPr>
              <w:t xml:space="preserve">Cape Hardy/Port Spencer: The SA government has identified that </w:t>
            </w:r>
            <w:r w:rsidR="000211CD">
              <w:rPr>
                <w:color w:val="auto"/>
                <w:sz w:val="18"/>
                <w:szCs w:val="18"/>
                <w:lang w:val="en-US"/>
              </w:rPr>
              <w:t>A</w:t>
            </w:r>
            <w:r w:rsidR="00C039E1" w:rsidRPr="00921944">
              <w:rPr>
                <w:color w:val="auto"/>
                <w:sz w:val="18"/>
                <w:szCs w:val="18"/>
                <w:lang w:val="en-US"/>
              </w:rPr>
              <w:t>$250 million will be required to upgrade Cape Hardy port to support hydrogen export.</w:t>
            </w:r>
            <w:r w:rsidR="00C51AB7" w:rsidRPr="00921944">
              <w:rPr>
                <w:color w:val="auto"/>
                <w:sz w:val="18"/>
                <w:szCs w:val="18"/>
                <w:lang w:val="en-US"/>
              </w:rPr>
              <w:fldChar w:fldCharType="begin" w:fldLock="1"/>
            </w:r>
            <w:r w:rsidR="00C51AB7">
              <w:rPr>
                <w:color w:val="auto"/>
                <w:sz w:val="18"/>
                <w:szCs w:val="18"/>
                <w:lang w:val="en-US"/>
              </w:rPr>
              <w:instrText>ADDIN CSL_CITATION {"citationItems":[{"id":"ITEM-1","itemData":{"URL":"https://www.nsenergybusiness.com/news/cape-hardy-poised-for-major-role-in-south-australias-hydrogen-future/","accessed":{"date-parts":[["2021","4","21"]]},"container-title":"NS Energy","id":"ITEM-1","issued":{"date-parts":[["2020","10","2"]]},"title":"Cape Hardy poised for major role in South Australia’s hydrogen future ","type":"webpage"},"uris":["http://www.mendeley.com/documents/?uuid=80099294-c9f1-3773-b757-30e29b5477e1"]}],"mendeley":{"formattedCitation":"&lt;sup&gt;89&lt;/sup&gt;","plainTextFormattedCitation":"89","previouslyFormattedCitation":"&lt;sup&gt;89&lt;/sup&gt;"},"properties":{"noteIndex":0},"schema":"https://github.com/citation-style-language/schema/raw/master/csl-citation.json"}</w:instrText>
            </w:r>
            <w:r w:rsidR="00C51AB7" w:rsidRPr="00921944">
              <w:rPr>
                <w:color w:val="auto"/>
                <w:sz w:val="18"/>
                <w:szCs w:val="18"/>
                <w:lang w:val="en-US"/>
              </w:rPr>
              <w:fldChar w:fldCharType="separate"/>
            </w:r>
            <w:r w:rsidR="00C51AB7" w:rsidRPr="00BD7196">
              <w:rPr>
                <w:noProof/>
                <w:color w:val="auto"/>
                <w:sz w:val="18"/>
                <w:szCs w:val="18"/>
                <w:vertAlign w:val="superscript"/>
                <w:lang w:val="en-US"/>
              </w:rPr>
              <w:t>89</w:t>
            </w:r>
            <w:r w:rsidR="00C51AB7" w:rsidRPr="00921944">
              <w:rPr>
                <w:color w:val="auto"/>
                <w:sz w:val="18"/>
                <w:szCs w:val="18"/>
                <w:lang w:val="en-US"/>
              </w:rPr>
              <w:fldChar w:fldCharType="end"/>
            </w:r>
          </w:p>
          <w:p w14:paraId="37983D82" w14:textId="434B1B84" w:rsidR="00C039E1" w:rsidRPr="00921944" w:rsidRDefault="00C51AB7" w:rsidP="00BA2C8B">
            <w:pPr>
              <w:pStyle w:val="ListParagraph"/>
              <w:spacing w:before="240" w:after="120"/>
              <w:ind w:left="0" w:right="183"/>
              <w:contextualSpacing w:val="0"/>
              <w:jc w:val="both"/>
              <w:cnfStyle w:val="000000000000" w:firstRow="0" w:lastRow="0" w:firstColumn="0" w:lastColumn="0" w:oddVBand="0" w:evenVBand="0" w:oddHBand="0" w:evenHBand="0" w:firstRowFirstColumn="0" w:firstRowLastColumn="0" w:lastRowFirstColumn="0" w:lastRowLastColumn="0"/>
              <w:rPr>
                <w:color w:val="auto"/>
                <w:sz w:val="18"/>
                <w:szCs w:val="18"/>
                <w:lang w:val="en-US"/>
              </w:rPr>
            </w:pPr>
            <w:r w:rsidRPr="00921944">
              <w:rPr>
                <w:color w:val="auto"/>
                <w:sz w:val="18"/>
                <w:szCs w:val="18"/>
                <w:lang w:val="en-US"/>
              </w:rPr>
              <w:t>The SA government have also recently signed MoU with the Port of Rotterdam to explore hydrogen export opportunities from t</w:t>
            </w:r>
            <w:r>
              <w:rPr>
                <w:color w:val="auto"/>
                <w:sz w:val="18"/>
                <w:szCs w:val="18"/>
                <w:lang w:val="en-US"/>
              </w:rPr>
              <w:t>hese</w:t>
            </w:r>
            <w:r w:rsidRPr="00921944">
              <w:rPr>
                <w:color w:val="auto"/>
                <w:sz w:val="18"/>
                <w:szCs w:val="18"/>
                <w:lang w:val="en-US"/>
              </w:rPr>
              <w:t xml:space="preserve"> hubs.</w:t>
            </w:r>
            <w:r>
              <w:rPr>
                <w:color w:val="auto"/>
                <w:sz w:val="18"/>
                <w:szCs w:val="18"/>
                <w:lang w:val="en-US"/>
              </w:rPr>
              <w:fldChar w:fldCharType="begin" w:fldLock="1"/>
            </w:r>
            <w:r>
              <w:rPr>
                <w:color w:val="auto"/>
                <w:sz w:val="18"/>
                <w:szCs w:val="18"/>
                <w:lang w:val="en-US"/>
              </w:rPr>
              <w:instrText>ADDIN CSL_CITATION {"citationItems":[{"id":"ITEM-1","itemData":{"URL":"https://www.portofrotterdam.com/en/news-and-press-releases/feasibility-study-export-south-australian-green-hydrogen-rotterdam","accessed":{"date-parts":[["2021","7","23"]]},"author":[{"dropping-particle":"","family":"Port of Rotterdam","given":"","non-dropping-particle":"","parse-names":false,"suffix":""}],"container-title":"News and Press Releases","id":"ITEM-1","issued":{"date-parts":[["2021"]]},"title":"Feasibility study on export of South Australian green hydrogen to Rotterdam ","type":"webpage"},"uris":["http://www.mendeley.com/documents/?uuid=1eed4c09-32f1-3423-b19d-40c5eec1c25e"]}],"mendeley":{"formattedCitation":"&lt;sup&gt;90&lt;/sup&gt;","plainTextFormattedCitation":"90","previouslyFormattedCitation":"&lt;sup&gt;90&lt;/sup&gt;"},"properties":{"noteIndex":0},"schema":"https://github.com/citation-style-language/schema/raw/master/csl-citation.json"}</w:instrText>
            </w:r>
            <w:r>
              <w:rPr>
                <w:color w:val="auto"/>
                <w:sz w:val="18"/>
                <w:szCs w:val="18"/>
                <w:lang w:val="en-US"/>
              </w:rPr>
              <w:fldChar w:fldCharType="separate"/>
            </w:r>
            <w:r w:rsidRPr="00BD7196">
              <w:rPr>
                <w:noProof/>
                <w:color w:val="auto"/>
                <w:sz w:val="18"/>
                <w:szCs w:val="18"/>
                <w:vertAlign w:val="superscript"/>
                <w:lang w:val="en-US"/>
              </w:rPr>
              <w:t>90</w:t>
            </w:r>
            <w:r>
              <w:rPr>
                <w:color w:val="auto"/>
                <w:sz w:val="18"/>
                <w:szCs w:val="18"/>
                <w:lang w:val="en-US"/>
              </w:rPr>
              <w:fldChar w:fldCharType="end"/>
            </w:r>
          </w:p>
        </w:tc>
        <w:tc>
          <w:tcPr>
            <w:tcW w:w="1620" w:type="dxa"/>
          </w:tcPr>
          <w:p w14:paraId="667C7991"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c>
          <w:tcPr>
            <w:tcW w:w="2059" w:type="dxa"/>
          </w:tcPr>
          <w:p w14:paraId="5050AB9B"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N.A.</w:t>
            </w:r>
          </w:p>
        </w:tc>
        <w:tc>
          <w:tcPr>
            <w:tcW w:w="2064" w:type="dxa"/>
          </w:tcPr>
          <w:p w14:paraId="41D443C8" w14:textId="77777777"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r w:rsidRPr="00921944">
              <w:rPr>
                <w:sz w:val="18"/>
                <w:szCs w:val="18"/>
                <w:lang w:val="en-US"/>
              </w:rPr>
              <w:t>Large scale hydrogen hubs</w:t>
            </w:r>
          </w:p>
        </w:tc>
        <w:tc>
          <w:tcPr>
            <w:tcW w:w="1426" w:type="dxa"/>
          </w:tcPr>
          <w:p w14:paraId="07392DC5" w14:textId="6E0FB4EC"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77C7BF1D" wp14:editId="5F085F6E">
                  <wp:extent cx="461882" cy="477078"/>
                  <wp:effectExtent l="0" t="0" r="0" b="0"/>
                  <wp:docPr id="178" name="Picture 17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379D9770" w14:textId="70A053A6" w:rsidR="00C039E1" w:rsidRPr="00921944" w:rsidRDefault="28449894" w:rsidP="00BA2C8B">
            <w:pPr>
              <w:pStyle w:val="ListParagraph"/>
              <w:ind w:left="0"/>
              <w:contextualSpacing w:val="0"/>
              <w:jc w:val="center"/>
              <w:cnfStyle w:val="000000000000" w:firstRow="0" w:lastRow="0" w:firstColumn="0" w:lastColumn="0" w:oddVBand="0" w:evenVBand="0" w:oddHBand="0" w:evenHBand="0" w:firstRowFirstColumn="0" w:firstRowLastColumn="0" w:lastRowFirstColumn="0" w:lastRowLastColumn="0"/>
              <w:rPr>
                <w:noProof/>
                <w:sz w:val="18"/>
                <w:szCs w:val="18"/>
              </w:rPr>
            </w:pPr>
            <w:r>
              <w:rPr>
                <w:noProof/>
              </w:rPr>
              <w:drawing>
                <wp:inline distT="0" distB="0" distL="0" distR="0" wp14:anchorId="0627CCF7" wp14:editId="0844281C">
                  <wp:extent cx="461882" cy="477078"/>
                  <wp:effectExtent l="0" t="0" r="0" b="0"/>
                  <wp:docPr id="179" name="Picture 1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tcPr>
          <w:p w14:paraId="33C7785C" w14:textId="114AB303" w:rsidR="00C039E1" w:rsidRPr="00921944" w:rsidRDefault="00C039E1" w:rsidP="00BA2C8B">
            <w:pPr>
              <w:pStyle w:val="ListParagraph"/>
              <w:ind w:left="0"/>
              <w:contextualSpacing w:val="0"/>
              <w:cnfStyle w:val="000000000000" w:firstRow="0" w:lastRow="0" w:firstColumn="0" w:lastColumn="0" w:oddVBand="0" w:evenVBand="0" w:oddHBand="0" w:evenHBand="0" w:firstRowFirstColumn="0" w:firstRowLastColumn="0" w:lastRowFirstColumn="0" w:lastRowLastColumn="0"/>
              <w:rPr>
                <w:sz w:val="18"/>
                <w:szCs w:val="18"/>
                <w:lang w:val="en-US"/>
              </w:rPr>
            </w:pPr>
          </w:p>
        </w:tc>
      </w:tr>
      <w:tr w:rsidR="002800B9" w:rsidRPr="00921944" w14:paraId="56D5017A" w14:textId="77777777" w:rsidTr="00E6169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56" w:type="dxa"/>
          </w:tcPr>
          <w:p w14:paraId="78DC48D1" w14:textId="05313136" w:rsidR="00C039E1" w:rsidRPr="008E36AE" w:rsidRDefault="005A61ED" w:rsidP="00BA2C8B">
            <w:pPr>
              <w:pStyle w:val="ListParagraph"/>
              <w:keepNext/>
              <w:ind w:left="0"/>
              <w:contextualSpacing w:val="0"/>
              <w:rPr>
                <w:caps/>
                <w:sz w:val="18"/>
                <w:szCs w:val="18"/>
                <w:lang w:val="en-US"/>
              </w:rPr>
            </w:pPr>
            <w:r>
              <w:rPr>
                <w:caps/>
                <w:sz w:val="18"/>
                <w:szCs w:val="18"/>
                <w:lang w:val="en-US"/>
              </w:rPr>
              <w:lastRenderedPageBreak/>
              <w:t>g</w:t>
            </w:r>
            <w:r w:rsidR="00BC245B" w:rsidRPr="008E36AE">
              <w:rPr>
                <w:caps/>
                <w:sz w:val="18"/>
                <w:szCs w:val="18"/>
                <w:lang w:val="en-US"/>
              </w:rPr>
              <w:t>.</w:t>
            </w:r>
          </w:p>
        </w:tc>
        <w:tc>
          <w:tcPr>
            <w:tcW w:w="3115" w:type="dxa"/>
          </w:tcPr>
          <w:p w14:paraId="35E26D51" w14:textId="77777777" w:rsidR="00C039E1" w:rsidRPr="00921944" w:rsidRDefault="00C039E1" w:rsidP="000211CD">
            <w:pPr>
              <w:pStyle w:val="ListParagraph"/>
              <w:keepNext/>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b/>
                <w:bCs/>
                <w:color w:val="auto"/>
                <w:sz w:val="18"/>
                <w:szCs w:val="18"/>
                <w:lang w:val="en-US"/>
              </w:rPr>
              <w:t>National Energy Resources Australia (NERA) backed Hydrogen Clusters.</w:t>
            </w:r>
          </w:p>
          <w:p w14:paraId="01194A33" w14:textId="76DAD2E6" w:rsidR="000211CD" w:rsidRDefault="00C039E1" w:rsidP="000211CD">
            <w:pPr>
              <w:pStyle w:val="ListParagraph"/>
              <w:keepNext/>
              <w:spacing w:before="240" w:after="120"/>
              <w:ind w:left="0" w:right="29"/>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The federal government backed NERA </w:t>
            </w:r>
            <w:r w:rsidR="00CA006A" w:rsidRPr="00921944">
              <w:rPr>
                <w:color w:val="auto"/>
                <w:sz w:val="18"/>
                <w:szCs w:val="18"/>
                <w:lang w:val="en-US"/>
              </w:rPr>
              <w:t>ha</w:t>
            </w:r>
            <w:r w:rsidR="00CA006A">
              <w:rPr>
                <w:color w:val="auto"/>
                <w:sz w:val="18"/>
                <w:szCs w:val="18"/>
                <w:lang w:val="en-US"/>
              </w:rPr>
              <w:t xml:space="preserve">s </w:t>
            </w:r>
            <w:r w:rsidRPr="00921944">
              <w:rPr>
                <w:color w:val="auto"/>
                <w:sz w:val="18"/>
                <w:szCs w:val="18"/>
                <w:lang w:val="en-US"/>
              </w:rPr>
              <w:t>invested A$1.85 million in developing 13 regional hydrogen hubs and technology clusters across Australia.</w:t>
            </w:r>
            <w:r w:rsidR="00C51AB7" w:rsidRPr="00921944">
              <w:rPr>
                <w:color w:val="auto"/>
                <w:sz w:val="18"/>
                <w:szCs w:val="18"/>
                <w:lang w:val="en-US"/>
              </w:rPr>
              <w:fldChar w:fldCharType="begin" w:fldLock="1"/>
            </w:r>
            <w:r w:rsidR="00C51AB7">
              <w:rPr>
                <w:color w:val="auto"/>
                <w:sz w:val="18"/>
                <w:szCs w:val="18"/>
                <w:lang w:val="en-US"/>
              </w:rPr>
              <w:instrText>ADDIN CSL_CITATION {"citationItems":[{"id":"ITEM-1","itemData":{"URL":"https://www.nera.org.au/regional-hydrogen-technology-clusters","accessed":{"date-parts":[["2021","4","21"]]},"id":"ITEM-1","issued":{"date-parts":[["0"]]},"title":"Australian Hydrogen Technology Clusters : NERA National Energy Resources Australia","type":"webpage"},"uris":["http://www.mendeley.com/documents/?uuid=e5cee6d5-222d-343b-bad9-3b3fd5e3ff80"]}],"mendeley":{"formattedCitation":"&lt;sup&gt;91&lt;/sup&gt;","plainTextFormattedCitation":"91","previouslyFormattedCitation":"&lt;sup&gt;91&lt;/sup&gt;"},"properties":{"noteIndex":0},"schema":"https://github.com/citation-style-language/schema/raw/master/csl-citation.json"}</w:instrText>
            </w:r>
            <w:r w:rsidR="00C51AB7" w:rsidRPr="00921944">
              <w:rPr>
                <w:color w:val="auto"/>
                <w:sz w:val="18"/>
                <w:szCs w:val="18"/>
                <w:lang w:val="en-US"/>
              </w:rPr>
              <w:fldChar w:fldCharType="separate"/>
            </w:r>
            <w:r w:rsidR="00C51AB7" w:rsidRPr="00BD7196">
              <w:rPr>
                <w:noProof/>
                <w:color w:val="auto"/>
                <w:sz w:val="18"/>
                <w:szCs w:val="18"/>
                <w:vertAlign w:val="superscript"/>
                <w:lang w:val="en-US"/>
              </w:rPr>
              <w:t>91</w:t>
            </w:r>
            <w:r w:rsidR="00C51AB7" w:rsidRPr="00921944">
              <w:rPr>
                <w:color w:val="auto"/>
                <w:sz w:val="18"/>
                <w:szCs w:val="18"/>
                <w:lang w:val="en-US"/>
              </w:rPr>
              <w:fldChar w:fldCharType="end"/>
            </w:r>
            <w:r w:rsidR="00C51AB7" w:rsidRPr="00921944">
              <w:rPr>
                <w:color w:val="auto"/>
                <w:sz w:val="18"/>
                <w:szCs w:val="18"/>
                <w:lang w:val="en-US"/>
              </w:rPr>
              <w:t xml:space="preserve"> </w:t>
            </w:r>
          </w:p>
          <w:p w14:paraId="4A888BC6" w14:textId="3A6A51FB" w:rsidR="00C039E1" w:rsidRPr="00921944" w:rsidRDefault="00C039E1" w:rsidP="000211CD">
            <w:pPr>
              <w:pStyle w:val="ListParagraph"/>
              <w:keepNext/>
              <w:spacing w:before="240" w:after="120"/>
              <w:ind w:left="0" w:right="29"/>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Each of the clusters will be operated by a consortium of universities, government institutions and private companies to develop and invest in projects for growing hydrogen industries. </w:t>
            </w:r>
          </w:p>
        </w:tc>
        <w:tc>
          <w:tcPr>
            <w:tcW w:w="1620" w:type="dxa"/>
          </w:tcPr>
          <w:p w14:paraId="7367127A" w14:textId="77777777" w:rsidR="00C039E1" w:rsidRPr="00921944" w:rsidRDefault="00C039E1" w:rsidP="00BA2C8B">
            <w:pPr>
              <w:pStyle w:val="ListParagraph"/>
              <w:keepNext/>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Several locations across the states.</w:t>
            </w:r>
          </w:p>
          <w:p w14:paraId="543CD392" w14:textId="77777777" w:rsidR="00C039E1" w:rsidRPr="00921944" w:rsidRDefault="00C039E1" w:rsidP="00BA2C8B">
            <w:pPr>
              <w:pStyle w:val="ListParagraph"/>
              <w:keepNext/>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p>
          <w:p w14:paraId="3C8D6E9E" w14:textId="76A71773" w:rsidR="00C039E1" w:rsidRPr="00921944" w:rsidRDefault="00C039E1" w:rsidP="00BA2C8B">
            <w:pPr>
              <w:pStyle w:val="ListParagraph"/>
              <w:keepNext/>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 xml:space="preserve">(1 each in, ACT, NSW, NT, SA and Tas, 4 in Victoria and 3 </w:t>
            </w:r>
            <w:r w:rsidR="00CB0B12">
              <w:rPr>
                <w:color w:val="auto"/>
                <w:sz w:val="18"/>
                <w:szCs w:val="18"/>
                <w:lang w:val="en-US"/>
              </w:rPr>
              <w:t xml:space="preserve">each </w:t>
            </w:r>
            <w:r w:rsidRPr="00921944">
              <w:rPr>
                <w:color w:val="auto"/>
                <w:sz w:val="18"/>
                <w:szCs w:val="18"/>
                <w:lang w:val="en-US"/>
              </w:rPr>
              <w:t>in Western Australia</w:t>
            </w:r>
            <w:r w:rsidR="00CB0B12">
              <w:rPr>
                <w:color w:val="auto"/>
                <w:sz w:val="18"/>
                <w:szCs w:val="18"/>
                <w:lang w:val="en-US"/>
              </w:rPr>
              <w:t xml:space="preserve"> &amp; Queensland</w:t>
            </w:r>
            <w:r w:rsidRPr="00921944">
              <w:rPr>
                <w:color w:val="auto"/>
                <w:sz w:val="18"/>
                <w:szCs w:val="18"/>
                <w:lang w:val="en-US"/>
              </w:rPr>
              <w:t>)</w:t>
            </w:r>
          </w:p>
        </w:tc>
        <w:tc>
          <w:tcPr>
            <w:tcW w:w="2059" w:type="dxa"/>
          </w:tcPr>
          <w:p w14:paraId="18D9706D"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N.A.</w:t>
            </w:r>
          </w:p>
        </w:tc>
        <w:tc>
          <w:tcPr>
            <w:tcW w:w="2064" w:type="dxa"/>
          </w:tcPr>
          <w:p w14:paraId="68BAD4F2"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Government led development of hydrogen hubs and technology centers.</w:t>
            </w:r>
          </w:p>
        </w:tc>
        <w:tc>
          <w:tcPr>
            <w:tcW w:w="1426" w:type="dxa"/>
          </w:tcPr>
          <w:p w14:paraId="62882F77" w14:textId="24B19511" w:rsidR="00C039E1" w:rsidRPr="00921944" w:rsidRDefault="28449894"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color w:val="auto"/>
                <w:sz w:val="18"/>
                <w:szCs w:val="18"/>
              </w:rPr>
            </w:pPr>
            <w:r>
              <w:rPr>
                <w:noProof/>
              </w:rPr>
              <w:drawing>
                <wp:inline distT="0" distB="0" distL="0" distR="0" wp14:anchorId="064DC126" wp14:editId="29640529">
                  <wp:extent cx="461882" cy="477078"/>
                  <wp:effectExtent l="0" t="0" r="0" b="0"/>
                  <wp:docPr id="176" name="Picture 1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1302" w:type="dxa"/>
          </w:tcPr>
          <w:p w14:paraId="1D91C31F" w14:textId="51D7EA4F" w:rsidR="00C039E1" w:rsidRPr="00921944" w:rsidRDefault="28449894" w:rsidP="00BA2C8B">
            <w:pPr>
              <w:pStyle w:val="ListParagraph"/>
              <w:ind w:left="0"/>
              <w:contextualSpacing w:val="0"/>
              <w:jc w:val="center"/>
              <w:cnfStyle w:val="000000010000" w:firstRow="0" w:lastRow="0" w:firstColumn="0" w:lastColumn="0" w:oddVBand="0" w:evenVBand="0" w:oddHBand="0" w:evenHBand="1" w:firstRowFirstColumn="0" w:firstRowLastColumn="0" w:lastRowFirstColumn="0" w:lastRowLastColumn="0"/>
              <w:rPr>
                <w:noProof/>
                <w:color w:val="auto"/>
                <w:sz w:val="18"/>
                <w:szCs w:val="18"/>
              </w:rPr>
            </w:pPr>
            <w:r>
              <w:rPr>
                <w:noProof/>
              </w:rPr>
              <w:drawing>
                <wp:inline distT="0" distB="0" distL="0" distR="0" wp14:anchorId="081F555F" wp14:editId="32D14D58">
                  <wp:extent cx="461882" cy="477078"/>
                  <wp:effectExtent l="0" t="0" r="0" b="0"/>
                  <wp:docPr id="175" name="Picture 1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882" cy="477078"/>
                          </a:xfrm>
                          <a:prstGeom prst="rect">
                            <a:avLst/>
                          </a:prstGeom>
                        </pic:spPr>
                      </pic:pic>
                    </a:graphicData>
                  </a:graphic>
                </wp:inline>
              </w:drawing>
            </w:r>
          </w:p>
        </w:tc>
        <w:tc>
          <w:tcPr>
            <w:tcW w:w="2873" w:type="dxa"/>
          </w:tcPr>
          <w:p w14:paraId="7BF73C66" w14:textId="77777777" w:rsidR="00C039E1" w:rsidRPr="00921944" w:rsidRDefault="00C039E1" w:rsidP="00BA2C8B">
            <w:pPr>
              <w:pStyle w:val="ListParagraph"/>
              <w:ind w:left="0"/>
              <w:contextualSpacing w:val="0"/>
              <w:cnfStyle w:val="000000010000" w:firstRow="0" w:lastRow="0" w:firstColumn="0" w:lastColumn="0" w:oddVBand="0" w:evenVBand="0" w:oddHBand="0" w:evenHBand="1" w:firstRowFirstColumn="0" w:firstRowLastColumn="0" w:lastRowFirstColumn="0" w:lastRowLastColumn="0"/>
              <w:rPr>
                <w:color w:val="auto"/>
                <w:sz w:val="18"/>
                <w:szCs w:val="18"/>
                <w:lang w:val="en-US"/>
              </w:rPr>
            </w:pPr>
            <w:r w:rsidRPr="00921944">
              <w:rPr>
                <w:color w:val="auto"/>
                <w:sz w:val="18"/>
                <w:szCs w:val="18"/>
                <w:lang w:val="en-US"/>
              </w:rPr>
              <w:t>Early stages of development</w:t>
            </w:r>
          </w:p>
        </w:tc>
      </w:tr>
      <w:tr w:rsidR="00DF2628" w:rsidRPr="00921944" w14:paraId="2EF625F1" w14:textId="77777777" w:rsidTr="00E61694">
        <w:trPr>
          <w:trHeight w:val="77"/>
        </w:trPr>
        <w:tc>
          <w:tcPr>
            <w:cnfStyle w:val="001000000000" w:firstRow="0" w:lastRow="0" w:firstColumn="1" w:lastColumn="0" w:oddVBand="0" w:evenVBand="0" w:oddHBand="0" w:evenHBand="0" w:firstRowFirstColumn="0" w:firstRowLastColumn="0" w:lastRowFirstColumn="0" w:lastRowLastColumn="0"/>
            <w:tcW w:w="15015" w:type="dxa"/>
            <w:gridSpan w:val="8"/>
          </w:tcPr>
          <w:p w14:paraId="362E72C8" w14:textId="1F6EE0C1" w:rsidR="00DF2628" w:rsidRPr="00921944" w:rsidRDefault="00DF2628" w:rsidP="00BA2C8B">
            <w:pPr>
              <w:pStyle w:val="ListParagraph"/>
              <w:ind w:left="0"/>
              <w:contextualSpacing w:val="0"/>
              <w:rPr>
                <w:color w:val="auto"/>
                <w:sz w:val="18"/>
                <w:szCs w:val="18"/>
                <w:lang w:val="en-US"/>
              </w:rPr>
            </w:pPr>
            <w:r>
              <w:rPr>
                <w:color w:val="auto"/>
                <w:sz w:val="18"/>
                <w:szCs w:val="18"/>
                <w:lang w:val="en-US"/>
              </w:rPr>
              <w:t>Additional Notes:</w:t>
            </w:r>
          </w:p>
        </w:tc>
      </w:tr>
      <w:tr w:rsidR="007D1E02" w:rsidRPr="00921944" w14:paraId="11EA5299" w14:textId="77777777" w:rsidTr="00E6169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5015" w:type="dxa"/>
            <w:gridSpan w:val="8"/>
          </w:tcPr>
          <w:p w14:paraId="5922AAA6" w14:textId="51B6F351" w:rsidR="005057A2" w:rsidRPr="00347E52" w:rsidRDefault="005057A2" w:rsidP="00BA2C8B">
            <w:pPr>
              <w:pStyle w:val="ListParagraph"/>
              <w:keepNext/>
              <w:ind w:left="0"/>
              <w:contextualSpacing w:val="0"/>
              <w:rPr>
                <w:color w:val="auto"/>
                <w:sz w:val="18"/>
                <w:szCs w:val="18"/>
                <w:lang w:val="en-US"/>
              </w:rPr>
            </w:pPr>
            <w:r w:rsidRPr="005057A2">
              <w:rPr>
                <w:color w:val="auto"/>
                <w:sz w:val="18"/>
                <w:szCs w:val="18"/>
                <w:lang w:val="en-US"/>
              </w:rPr>
              <w:t>Federal Government Support for Regional Hydrogen Hubs in Australia</w:t>
            </w:r>
          </w:p>
          <w:p w14:paraId="07603BFF" w14:textId="230E4064" w:rsidR="00DF2628" w:rsidRPr="00133ED6" w:rsidRDefault="005057A2" w:rsidP="0047606C">
            <w:pPr>
              <w:pStyle w:val="ListParagraph"/>
              <w:spacing w:before="120" w:after="120" w:line="276" w:lineRule="auto"/>
              <w:ind w:left="0"/>
              <w:contextualSpacing w:val="0"/>
              <w:rPr>
                <w:color w:val="auto"/>
                <w:sz w:val="18"/>
                <w:szCs w:val="18"/>
                <w:lang w:val="en-US"/>
              </w:rPr>
            </w:pPr>
            <w:r w:rsidRPr="005057A2">
              <w:rPr>
                <w:b w:val="0"/>
                <w:bCs/>
                <w:color w:val="auto"/>
                <w:sz w:val="18"/>
                <w:szCs w:val="18"/>
                <w:lang w:val="en-US"/>
              </w:rPr>
              <w:t xml:space="preserve">Federal government has also committed to provide </w:t>
            </w:r>
            <w:r w:rsidR="00C14460">
              <w:rPr>
                <w:b w:val="0"/>
                <w:bCs/>
                <w:color w:val="auto"/>
                <w:sz w:val="18"/>
                <w:szCs w:val="18"/>
                <w:lang w:val="en-US"/>
              </w:rPr>
              <w:t xml:space="preserve">up to </w:t>
            </w:r>
            <w:r w:rsidRPr="005057A2">
              <w:rPr>
                <w:b w:val="0"/>
                <w:bCs/>
                <w:color w:val="auto"/>
                <w:sz w:val="18"/>
                <w:szCs w:val="18"/>
                <w:lang w:val="en-US"/>
              </w:rPr>
              <w:t>A$</w:t>
            </w:r>
            <w:r w:rsidR="00A73C07">
              <w:rPr>
                <w:b w:val="0"/>
                <w:bCs/>
                <w:color w:val="auto"/>
                <w:sz w:val="18"/>
                <w:szCs w:val="18"/>
                <w:lang w:val="en-US"/>
              </w:rPr>
              <w:t>314</w:t>
            </w:r>
            <w:r w:rsidRPr="005057A2">
              <w:rPr>
                <w:b w:val="0"/>
                <w:bCs/>
                <w:color w:val="auto"/>
                <w:sz w:val="18"/>
                <w:szCs w:val="18"/>
                <w:lang w:val="en-US"/>
              </w:rPr>
              <w:t xml:space="preserve"> million in funding over 5 years</w:t>
            </w:r>
            <w:r w:rsidR="0047606C">
              <w:rPr>
                <w:b w:val="0"/>
                <w:bCs/>
                <w:color w:val="auto"/>
                <w:sz w:val="18"/>
                <w:szCs w:val="18"/>
                <w:lang w:val="en-US"/>
              </w:rPr>
              <w:t xml:space="preserve"> </w:t>
            </w:r>
            <w:r w:rsidRPr="005057A2">
              <w:rPr>
                <w:b w:val="0"/>
                <w:bCs/>
                <w:color w:val="auto"/>
                <w:sz w:val="18"/>
                <w:szCs w:val="18"/>
                <w:lang w:val="en-US"/>
              </w:rPr>
              <w:t>to support/develop regional hydrogen hubs.</w:t>
            </w:r>
            <w:r w:rsidR="00C51AB7" w:rsidRPr="005057A2">
              <w:rPr>
                <w:color w:val="auto"/>
                <w:sz w:val="18"/>
                <w:szCs w:val="18"/>
                <w:lang w:val="en-US"/>
              </w:rPr>
              <w:fldChar w:fldCharType="begin" w:fldLock="1"/>
            </w:r>
            <w:r w:rsidR="00C51AB7">
              <w:rPr>
                <w:b w:val="0"/>
                <w:bCs/>
                <w:color w:val="auto"/>
                <w:sz w:val="18"/>
                <w:szCs w:val="18"/>
                <w:lang w:val="en-US"/>
              </w:rPr>
              <w:instrText>ADDIN CSL_CITATION {"citationItems":[{"id":"ITEM-1","itemData":{"URL":"https://www.pv-magazine-australia.com/2021/04/21/federal-government-commits-a-further-275m-to-regional-hydrogen-hubs-while-devoting-similar-sum-to-controversial-technology/","accessed":{"date-parts":[["2021","4","21"]]},"author":[{"dropping-particle":"","family":"Peacock","given":"Bella","non-dropping-particle":"","parse-names":false,"suffix":""}],"container-title":"PV Magazine Australia","id":"ITEM-1","issued":{"date-parts":[["2021","4","21"]]},"title":"Federal government commits a further $275m to regional hydrogen hubs while devoting similar sum to controversial technology ","type":"webpage"},"uris":["http://www.mendeley.com/documents/?uuid=c4747ddd-5e8f-3a5b-84cf-0dcfe77550b7"]}],"mendeley":{"formattedCitation":"&lt;sup&gt;92&lt;/sup&gt;","plainTextFormattedCitation":"92","previouslyFormattedCitation":"&lt;sup&gt;92&lt;/sup&gt;"},"properties":{"noteIndex":0},"schema":"https://github.com/citation-style-language/schema/raw/master/csl-citation.json"}</w:instrText>
            </w:r>
            <w:r w:rsidR="00C51AB7" w:rsidRPr="005057A2">
              <w:rPr>
                <w:color w:val="auto"/>
                <w:sz w:val="18"/>
                <w:szCs w:val="18"/>
                <w:lang w:val="en-US"/>
              </w:rPr>
              <w:fldChar w:fldCharType="separate"/>
            </w:r>
            <w:r w:rsidR="00C51AB7" w:rsidRPr="00BD7196">
              <w:rPr>
                <w:b w:val="0"/>
                <w:bCs/>
                <w:noProof/>
                <w:color w:val="auto"/>
                <w:sz w:val="18"/>
                <w:szCs w:val="18"/>
                <w:vertAlign w:val="superscript"/>
                <w:lang w:val="en-US"/>
              </w:rPr>
              <w:t>92</w:t>
            </w:r>
            <w:r w:rsidR="00C51AB7" w:rsidRPr="005057A2">
              <w:rPr>
                <w:color w:val="auto"/>
                <w:sz w:val="18"/>
                <w:szCs w:val="18"/>
                <w:lang w:val="en-US"/>
              </w:rPr>
              <w:fldChar w:fldCharType="end"/>
            </w:r>
          </w:p>
        </w:tc>
      </w:tr>
    </w:tbl>
    <w:p w14:paraId="75D4183F" w14:textId="5607C653" w:rsidR="00FA0954" w:rsidRPr="00C604D2" w:rsidRDefault="00363FE7" w:rsidP="00C604D2">
      <w:pPr>
        <w:spacing w:before="240"/>
        <w:ind w:left="-567"/>
        <w:rPr>
          <w:sz w:val="20"/>
          <w:szCs w:val="20"/>
          <w:u w:val="single"/>
        </w:rPr>
      </w:pPr>
      <w:r w:rsidRPr="00C604D2">
        <w:rPr>
          <w:b/>
          <w:bCs/>
          <w:sz w:val="20"/>
          <w:szCs w:val="20"/>
        </w:rPr>
        <w:t>Note:</w:t>
      </w:r>
      <w:r>
        <w:rPr>
          <w:sz w:val="20"/>
          <w:szCs w:val="20"/>
          <w:u w:val="single"/>
        </w:rPr>
        <w:t xml:space="preserve"> This list in </w:t>
      </w:r>
      <w:r w:rsidR="005D62A3">
        <w:rPr>
          <w:sz w:val="20"/>
          <w:szCs w:val="20"/>
          <w:u w:val="single"/>
        </w:rPr>
        <w:t xml:space="preserve">non-exhaustive due to the evolving hydrogen market in Australia. For more information, refer to CSIRO’s </w:t>
      </w:r>
      <w:hyperlink r:id="rId13" w:history="1">
        <w:proofErr w:type="spellStart"/>
        <w:r w:rsidR="005D62A3" w:rsidRPr="005D62A3">
          <w:rPr>
            <w:rStyle w:val="Hyperlink"/>
            <w:sz w:val="20"/>
            <w:szCs w:val="20"/>
          </w:rPr>
          <w:t>HyResource</w:t>
        </w:r>
        <w:proofErr w:type="spellEnd"/>
      </w:hyperlink>
      <w:r w:rsidR="005D62A3">
        <w:rPr>
          <w:sz w:val="20"/>
          <w:szCs w:val="20"/>
          <w:u w:val="single"/>
        </w:rPr>
        <w:t xml:space="preserve"> project database. </w:t>
      </w:r>
    </w:p>
    <w:p w14:paraId="6BE48677" w14:textId="715D90E9" w:rsidR="00363FE7" w:rsidRDefault="00363FE7" w:rsidP="00580E96">
      <w:pPr>
        <w:spacing w:before="240"/>
        <w:sectPr w:rsidR="00363FE7" w:rsidSect="00921944">
          <w:pgSz w:w="16838" w:h="11906" w:orient="landscape" w:code="9"/>
          <w:pgMar w:top="936" w:right="936" w:bottom="936" w:left="1418" w:header="850" w:footer="850" w:gutter="0"/>
          <w:pgNumType w:start="1" w:chapStyle="1"/>
          <w:cols w:space="708"/>
          <w:titlePg/>
          <w:docGrid w:linePitch="360"/>
        </w:sectPr>
      </w:pPr>
    </w:p>
    <w:p w14:paraId="064063C3" w14:textId="07AD099B" w:rsidR="00E60B15" w:rsidRPr="00A62684" w:rsidRDefault="00A66678" w:rsidP="00C86EAD">
      <w:pPr>
        <w:pStyle w:val="AppendixHeading"/>
        <w:spacing w:after="240"/>
        <w:rPr>
          <w:rFonts w:ascii="Roboto" w:hAnsi="Roboto"/>
        </w:rPr>
      </w:pPr>
      <w:r w:rsidRPr="00A62684">
        <w:rPr>
          <w:rFonts w:ascii="Roboto" w:hAnsi="Roboto"/>
        </w:rPr>
        <w:lastRenderedPageBreak/>
        <w:t>Representative duration curves</w:t>
      </w:r>
    </w:p>
    <w:p w14:paraId="6FD7C974" w14:textId="2F36DE9A" w:rsidR="00AA24F2" w:rsidRDefault="00746210" w:rsidP="00AA24F2">
      <w:pPr>
        <w:keepNext/>
        <w:ind w:left="-426" w:right="-456"/>
        <w:jc w:val="center"/>
      </w:pPr>
      <w:r>
        <w:rPr>
          <w:noProof/>
        </w:rPr>
        <w:drawing>
          <wp:inline distT="0" distB="0" distL="0" distR="0" wp14:anchorId="3FE6AEE3" wp14:editId="50C07F42">
            <wp:extent cx="7013843" cy="85431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17009" cy="8546964"/>
                    </a:xfrm>
                    <a:prstGeom prst="rect">
                      <a:avLst/>
                    </a:prstGeom>
                    <a:noFill/>
                  </pic:spPr>
                </pic:pic>
              </a:graphicData>
            </a:graphic>
          </wp:inline>
        </w:drawing>
      </w:r>
    </w:p>
    <w:p w14:paraId="68B17F68" w14:textId="41AAE3BD" w:rsidR="0087458F" w:rsidRPr="00AA24F2" w:rsidRDefault="00AA24F2" w:rsidP="00AA24F2">
      <w:pPr>
        <w:pStyle w:val="Caption"/>
        <w:jc w:val="both"/>
        <w:rPr>
          <w:b w:val="0"/>
          <w:bCs w:val="0"/>
        </w:rPr>
      </w:pPr>
      <w:r>
        <w:lastRenderedPageBreak/>
        <w:t xml:space="preserve">Figure </w:t>
      </w:r>
      <w:r w:rsidR="00B75B18">
        <w:t>B</w:t>
      </w:r>
      <w:r>
        <w:fldChar w:fldCharType="begin"/>
      </w:r>
      <w:r>
        <w:instrText>SEQ Figure_A \* ARABIC</w:instrText>
      </w:r>
      <w:r>
        <w:fldChar w:fldCharType="separate"/>
      </w:r>
      <w:r w:rsidR="00166507">
        <w:rPr>
          <w:noProof/>
        </w:rPr>
        <w:t>1</w:t>
      </w:r>
      <w:r>
        <w:fldChar w:fldCharType="end"/>
      </w:r>
      <w:r>
        <w:t xml:space="preserve">. </w:t>
      </w:r>
      <w:r w:rsidRPr="00AA24F2">
        <w:t xml:space="preserve">Monthly and daily breakdown of electrolyser duration curves for Solar PV, Wind and Hybrid </w:t>
      </w:r>
      <w:r w:rsidR="009D7358">
        <w:t>(solar + wind)</w:t>
      </w:r>
      <w:r w:rsidRPr="00AA24F2">
        <w:t xml:space="preserve"> electricity in the chosen locations. </w:t>
      </w:r>
      <w:r w:rsidRPr="00AA24F2">
        <w:rPr>
          <w:b w:val="0"/>
          <w:bCs w:val="0"/>
        </w:rPr>
        <w:t>The duration curves as a daily representation of the electrolyser output (%) over the course of the months of March and September for electrolyser facilities assumed in Baines (NT), Macarthur (NT) and Ashburton (WA)</w:t>
      </w:r>
    </w:p>
    <w:p w14:paraId="394E8D26" w14:textId="77777777" w:rsidR="00AA24F2" w:rsidRDefault="18978F0D" w:rsidP="00AA24F2">
      <w:pPr>
        <w:keepNext/>
        <w:ind w:left="-567" w:right="-739"/>
        <w:jc w:val="center"/>
      </w:pPr>
      <w:r>
        <w:rPr>
          <w:noProof/>
        </w:rPr>
        <w:drawing>
          <wp:inline distT="0" distB="0" distL="0" distR="0" wp14:anchorId="19342112" wp14:editId="252D215F">
            <wp:extent cx="6480001" cy="7833600"/>
            <wp:effectExtent l="0" t="0" r="0" b="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6480001" cy="7833600"/>
                    </a:xfrm>
                    <a:prstGeom prst="rect">
                      <a:avLst/>
                    </a:prstGeom>
                  </pic:spPr>
                </pic:pic>
              </a:graphicData>
            </a:graphic>
          </wp:inline>
        </w:drawing>
      </w:r>
    </w:p>
    <w:p w14:paraId="310EF604" w14:textId="4BB83A18" w:rsidR="0087458F" w:rsidRPr="00AA24F2" w:rsidRDefault="00AA24F2" w:rsidP="00AA24F2">
      <w:pPr>
        <w:pStyle w:val="Caption"/>
        <w:jc w:val="both"/>
        <w:rPr>
          <w:b w:val="0"/>
          <w:bCs w:val="0"/>
        </w:rPr>
      </w:pPr>
      <w:r>
        <w:t xml:space="preserve">Figure </w:t>
      </w:r>
      <w:r w:rsidR="00B75B18">
        <w:t>B</w:t>
      </w:r>
      <w:r>
        <w:fldChar w:fldCharType="begin"/>
      </w:r>
      <w:r>
        <w:instrText>SEQ Figure_A \* ARABIC</w:instrText>
      </w:r>
      <w:r>
        <w:fldChar w:fldCharType="separate"/>
      </w:r>
      <w:r w:rsidR="00166507">
        <w:rPr>
          <w:noProof/>
        </w:rPr>
        <w:t>2</w:t>
      </w:r>
      <w:r>
        <w:fldChar w:fldCharType="end"/>
      </w:r>
      <w:r>
        <w:t xml:space="preserve">. </w:t>
      </w:r>
      <w:r w:rsidRPr="00AA24F2">
        <w:t xml:space="preserve">Monthly and daily breakdown of electrolyser duration curves for Solar PV, Wind and Hybrid </w:t>
      </w:r>
      <w:r w:rsidR="009D7358">
        <w:t xml:space="preserve">(solar + wind) </w:t>
      </w:r>
      <w:r w:rsidRPr="00AA24F2">
        <w:t xml:space="preserve">electricity in the chosen locations. </w:t>
      </w:r>
      <w:r w:rsidRPr="00AA24F2">
        <w:rPr>
          <w:b w:val="0"/>
          <w:bCs w:val="0"/>
        </w:rPr>
        <w:t>The duration curves as a daily representation of the electrolyser output (%) over the course of the months of March and September for electrolyser facilities assumed in Geraldton (WA), New England (NSW) and Southern NSW Tablelands (NSW)</w:t>
      </w:r>
    </w:p>
    <w:p w14:paraId="1835E482" w14:textId="060EDCE5" w:rsidR="00E410CD" w:rsidRPr="00A62684" w:rsidRDefault="00E410CD" w:rsidP="00A13AC3">
      <w:pPr>
        <w:pStyle w:val="AppendixHeading"/>
        <w:spacing w:after="240"/>
        <w:jc w:val="both"/>
        <w:rPr>
          <w:rFonts w:ascii="Roboto" w:hAnsi="Roboto"/>
        </w:rPr>
      </w:pPr>
      <w:r w:rsidRPr="00A62684">
        <w:rPr>
          <w:rFonts w:ascii="Roboto" w:hAnsi="Roboto"/>
        </w:rPr>
        <w:lastRenderedPageBreak/>
        <w:t>Hydrogen Carrier Assessment Tools</w:t>
      </w:r>
    </w:p>
    <w:p w14:paraId="7D93A094" w14:textId="6413BADF" w:rsidR="00C05150" w:rsidRDefault="00C05150" w:rsidP="00E410CD">
      <w:pPr>
        <w:jc w:val="both"/>
        <w:rPr>
          <w:lang w:eastAsia="en-AU"/>
        </w:rPr>
      </w:pPr>
      <w:r w:rsidRPr="00C05150">
        <w:rPr>
          <w:lang w:eastAsia="en-AU"/>
        </w:rPr>
        <w:t xml:space="preserve">A multi-criteria analysis (MCA) tool was developed by </w:t>
      </w:r>
      <w:proofErr w:type="spellStart"/>
      <w:r w:rsidRPr="00C05150">
        <w:rPr>
          <w:lang w:eastAsia="en-AU"/>
        </w:rPr>
        <w:t>HySupply</w:t>
      </w:r>
      <w:proofErr w:type="spellEnd"/>
      <w:r w:rsidRPr="00C05150">
        <w:rPr>
          <w:lang w:eastAsia="en-AU"/>
        </w:rPr>
        <w:t xml:space="preserve"> Australia to provide a preliminary analysis mechanism to identify the most suitable hydrogen derivative for export between Australia and Germany. The MCA tool was developed to assess the hydrogen derivatives against key techno-economic criterion, such as commercial, hydrogen export, energy export, </w:t>
      </w:r>
      <w:proofErr w:type="gramStart"/>
      <w:r w:rsidRPr="00C05150">
        <w:rPr>
          <w:lang w:eastAsia="en-AU"/>
        </w:rPr>
        <w:t>transportation</w:t>
      </w:r>
      <w:proofErr w:type="gramEnd"/>
      <w:r w:rsidRPr="00C05150">
        <w:rPr>
          <w:lang w:eastAsia="en-AU"/>
        </w:rPr>
        <w:t xml:space="preserve"> and decarbonisation benefits.</w:t>
      </w:r>
      <w:r>
        <w:rPr>
          <w:lang w:eastAsia="en-AU"/>
        </w:rPr>
        <w:t xml:space="preserve"> </w:t>
      </w:r>
      <w:r w:rsidR="00E410CD">
        <w:rPr>
          <w:lang w:eastAsia="en-AU"/>
        </w:rPr>
        <w:t xml:space="preserve">The key performance indicators used to assess each hydrogen carrier </w:t>
      </w:r>
      <w:r>
        <w:rPr>
          <w:lang w:eastAsia="en-AU"/>
        </w:rPr>
        <w:t xml:space="preserve">are discussed in Sections </w:t>
      </w:r>
      <w:r w:rsidR="0073610F">
        <w:rPr>
          <w:lang w:eastAsia="en-AU"/>
        </w:rPr>
        <w:t xml:space="preserve">C1 </w:t>
      </w:r>
      <w:r>
        <w:rPr>
          <w:lang w:eastAsia="en-AU"/>
        </w:rPr>
        <w:t xml:space="preserve">– </w:t>
      </w:r>
      <w:r w:rsidR="0073610F">
        <w:rPr>
          <w:lang w:eastAsia="en-AU"/>
        </w:rPr>
        <w:t>C5</w:t>
      </w:r>
      <w:r w:rsidR="00E410CD">
        <w:rPr>
          <w:lang w:eastAsia="en-AU"/>
        </w:rPr>
        <w:t xml:space="preserve">. </w:t>
      </w:r>
    </w:p>
    <w:p w14:paraId="6EABDA96" w14:textId="4541515D" w:rsidR="00E410CD" w:rsidRPr="00C05150" w:rsidRDefault="00783EDB" w:rsidP="00E410CD">
      <w:pPr>
        <w:jc w:val="both"/>
        <w:rPr>
          <w:lang w:eastAsia="en-AU"/>
        </w:rPr>
      </w:pPr>
      <w:r w:rsidRPr="00C018C1">
        <w:rPr>
          <w:b/>
          <w:lang w:eastAsia="en-AU"/>
        </w:rPr>
        <w:t xml:space="preserve">Note that </w:t>
      </w:r>
      <w:proofErr w:type="spellStart"/>
      <w:r w:rsidR="00BD5D86" w:rsidRPr="00C018C1">
        <w:rPr>
          <w:b/>
          <w:lang w:eastAsia="en-AU"/>
        </w:rPr>
        <w:t>HySupply</w:t>
      </w:r>
      <w:proofErr w:type="spellEnd"/>
      <w:r w:rsidR="00BD5D86" w:rsidRPr="00C018C1">
        <w:rPr>
          <w:b/>
          <w:lang w:eastAsia="en-AU"/>
        </w:rPr>
        <w:t xml:space="preserve"> Australia recognises that the performance indicators used </w:t>
      </w:r>
      <w:r w:rsidR="00C018C1" w:rsidRPr="00C018C1">
        <w:rPr>
          <w:b/>
          <w:bCs/>
          <w:lang w:eastAsia="en-AU"/>
        </w:rPr>
        <w:t xml:space="preserve">for </w:t>
      </w:r>
      <w:r w:rsidR="00F96630">
        <w:rPr>
          <w:b/>
          <w:bCs/>
          <w:lang w:eastAsia="en-AU"/>
        </w:rPr>
        <w:t xml:space="preserve">the </w:t>
      </w:r>
      <w:r w:rsidR="00C018C1" w:rsidRPr="00C018C1">
        <w:rPr>
          <w:b/>
          <w:bCs/>
          <w:lang w:eastAsia="en-AU"/>
        </w:rPr>
        <w:t xml:space="preserve">MCA analysis are subjective to </w:t>
      </w:r>
      <w:r w:rsidR="00F96630">
        <w:rPr>
          <w:b/>
          <w:bCs/>
          <w:lang w:eastAsia="en-AU"/>
        </w:rPr>
        <w:t xml:space="preserve">the </w:t>
      </w:r>
      <w:r w:rsidR="00C018C1" w:rsidRPr="00C018C1">
        <w:rPr>
          <w:b/>
          <w:bCs/>
          <w:lang w:eastAsia="en-AU"/>
        </w:rPr>
        <w:t xml:space="preserve">use-case in Germany. To facilitate this conversation and </w:t>
      </w:r>
      <w:r w:rsidR="00F96630">
        <w:rPr>
          <w:b/>
          <w:bCs/>
          <w:lang w:eastAsia="en-AU"/>
        </w:rPr>
        <w:t xml:space="preserve">provide </w:t>
      </w:r>
      <w:r w:rsidR="00C018C1" w:rsidRPr="00C018C1">
        <w:rPr>
          <w:b/>
          <w:bCs/>
          <w:lang w:eastAsia="en-AU"/>
        </w:rPr>
        <w:t xml:space="preserve">flexibility, </w:t>
      </w:r>
      <w:proofErr w:type="spellStart"/>
      <w:r w:rsidR="00C018C1" w:rsidRPr="00C018C1">
        <w:rPr>
          <w:b/>
          <w:bCs/>
          <w:lang w:eastAsia="en-AU"/>
        </w:rPr>
        <w:t>HySupply</w:t>
      </w:r>
      <w:proofErr w:type="spellEnd"/>
      <w:r w:rsidR="00C018C1" w:rsidRPr="00C018C1">
        <w:rPr>
          <w:b/>
          <w:bCs/>
          <w:lang w:eastAsia="en-AU"/>
        </w:rPr>
        <w:t xml:space="preserve"> Australia is releasing the hydrogen carrier assessment tool online.</w:t>
      </w:r>
      <w:r w:rsidR="00E410CD" w:rsidRPr="00C018C1">
        <w:rPr>
          <w:b/>
          <w:lang w:eastAsia="en-AU"/>
        </w:rPr>
        <w:t xml:space="preserve"> </w:t>
      </w:r>
    </w:p>
    <w:p w14:paraId="5CDC8987" w14:textId="63F4D8CC" w:rsidR="00264157" w:rsidRDefault="0073610F" w:rsidP="00A62684">
      <w:pPr>
        <w:spacing w:before="240"/>
        <w:rPr>
          <w:b/>
          <w:bCs/>
          <w:sz w:val="28"/>
          <w:szCs w:val="28"/>
          <w:lang w:eastAsia="en-AU"/>
        </w:rPr>
      </w:pPr>
      <w:r>
        <w:rPr>
          <w:b/>
          <w:bCs/>
          <w:sz w:val="28"/>
          <w:szCs w:val="28"/>
          <w:lang w:eastAsia="en-AU"/>
        </w:rPr>
        <w:t>C</w:t>
      </w:r>
      <w:r w:rsidR="00A62684" w:rsidRPr="00A62684">
        <w:rPr>
          <w:b/>
          <w:bCs/>
          <w:sz w:val="28"/>
          <w:szCs w:val="28"/>
          <w:lang w:eastAsia="en-AU"/>
        </w:rPr>
        <w:t xml:space="preserve">.1. </w:t>
      </w:r>
      <w:r w:rsidR="00264157">
        <w:rPr>
          <w:b/>
          <w:bCs/>
          <w:sz w:val="28"/>
          <w:szCs w:val="28"/>
          <w:lang w:eastAsia="en-AU"/>
        </w:rPr>
        <w:t>Commercial Metrics</w:t>
      </w:r>
    </w:p>
    <w:p w14:paraId="51EDAEDE" w14:textId="0816ADD6" w:rsidR="00E410CD" w:rsidRPr="00264157" w:rsidRDefault="00264157" w:rsidP="00264157">
      <w:pPr>
        <w:rPr>
          <w:u w:val="single"/>
          <w:lang w:eastAsia="en-AU"/>
        </w:rPr>
      </w:pPr>
      <w:r w:rsidRPr="00264157">
        <w:rPr>
          <w:u w:val="single"/>
          <w:lang w:eastAsia="en-AU"/>
        </w:rPr>
        <w:t>Technical Readiness</w:t>
      </w:r>
      <w:r w:rsidR="00E410CD" w:rsidRPr="00264157">
        <w:rPr>
          <w:u w:val="single"/>
          <w:lang w:eastAsia="en-AU"/>
        </w:rPr>
        <w:t xml:space="preserve"> </w:t>
      </w:r>
    </w:p>
    <w:p w14:paraId="265A5696" w14:textId="77777777" w:rsidR="00E410CD" w:rsidRPr="00F81774"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t xml:space="preserve">The technical readiness level (TRL) has been used to evaluate the storage and transport of liquefied hydrogen and hydrogen carriers (ammonia, methane, methanol and other LOHCs) for an intercontinental value chain. Additionally, in the case of hydrogen carriers, </w:t>
      </w:r>
      <w:r>
        <w:rPr>
          <w:rFonts w:eastAsia="Times New Roman" w:cs="Times New Roman"/>
          <w:szCs w:val="24"/>
          <w:lang w:eastAsia="en-AU"/>
        </w:rPr>
        <w:t>the</w:t>
      </w:r>
      <w:r w:rsidRPr="00F81774">
        <w:rPr>
          <w:rFonts w:eastAsia="Times New Roman" w:cs="Times New Roman"/>
          <w:szCs w:val="24"/>
          <w:lang w:eastAsia="en-AU"/>
        </w:rPr>
        <w:t xml:space="preserve"> production and hydrogen retrieval technologies</w:t>
      </w:r>
      <w:r>
        <w:rPr>
          <w:rFonts w:eastAsia="Times New Roman" w:cs="Times New Roman"/>
          <w:szCs w:val="24"/>
          <w:lang w:eastAsia="en-AU"/>
        </w:rPr>
        <w:t xml:space="preserve"> have been included</w:t>
      </w:r>
      <w:r w:rsidRPr="00F81774">
        <w:rPr>
          <w:rFonts w:eastAsia="Times New Roman" w:cs="Times New Roman"/>
          <w:szCs w:val="24"/>
          <w:lang w:eastAsia="en-AU"/>
        </w:rPr>
        <w:t xml:space="preserve"> within this assessment. For liquefaction</w:t>
      </w:r>
      <w:r>
        <w:rPr>
          <w:rFonts w:eastAsia="Times New Roman" w:cs="Times New Roman"/>
          <w:szCs w:val="24"/>
          <w:lang w:eastAsia="en-AU"/>
        </w:rPr>
        <w:t>, the technical readiness of l</w:t>
      </w:r>
      <w:r w:rsidRPr="00F81774">
        <w:rPr>
          <w:rFonts w:eastAsia="Times New Roman" w:cs="Times New Roman"/>
          <w:szCs w:val="24"/>
          <w:lang w:eastAsia="en-AU"/>
        </w:rPr>
        <w:t>iquefaction technology</w:t>
      </w:r>
      <w:r>
        <w:rPr>
          <w:rFonts w:eastAsia="Times New Roman" w:cs="Times New Roman"/>
          <w:szCs w:val="24"/>
          <w:lang w:eastAsia="en-AU"/>
        </w:rPr>
        <w:t xml:space="preserve"> has been assessed</w:t>
      </w:r>
      <w:r w:rsidRPr="00F81774">
        <w:rPr>
          <w:rFonts w:eastAsia="Times New Roman" w:cs="Times New Roman"/>
          <w:szCs w:val="24"/>
          <w:lang w:eastAsia="en-AU"/>
        </w:rPr>
        <w:t xml:space="preserve">. </w:t>
      </w:r>
    </w:p>
    <w:p w14:paraId="72B88D75" w14:textId="34BE677B" w:rsidR="00E410CD" w:rsidRPr="00F81774"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t>An assessment of the TRL of the entirety of the value chain is made based upon technical readiness level</w:t>
      </w:r>
      <w:r>
        <w:rPr>
          <w:rFonts w:eastAsia="Times New Roman" w:cs="Times New Roman"/>
          <w:szCs w:val="24"/>
          <w:lang w:eastAsia="en-AU"/>
        </w:rPr>
        <w:t xml:space="preserve"> of the individual components</w:t>
      </w:r>
      <w:r w:rsidRPr="00F81774">
        <w:rPr>
          <w:rFonts w:eastAsia="Times New Roman" w:cs="Times New Roman"/>
          <w:szCs w:val="24"/>
          <w:lang w:eastAsia="en-AU"/>
        </w:rPr>
        <w:t xml:space="preserve"> and not the current operational status of the value chain</w:t>
      </w:r>
      <w:r>
        <w:rPr>
          <w:rFonts w:eastAsia="Times New Roman" w:cs="Times New Roman"/>
          <w:szCs w:val="24"/>
          <w:lang w:eastAsia="en-AU"/>
        </w:rPr>
        <w:t xml:space="preserve"> (</w:t>
      </w:r>
      <w:r w:rsidR="00921944">
        <w:rPr>
          <w:rFonts w:eastAsia="Times New Roman" w:cs="Times New Roman"/>
          <w:b/>
          <w:bCs/>
          <w:szCs w:val="24"/>
          <w:lang w:eastAsia="en-AU"/>
        </w:rPr>
        <w:t xml:space="preserve">Table </w:t>
      </w:r>
      <w:r w:rsidR="0073610F">
        <w:rPr>
          <w:rFonts w:eastAsia="Times New Roman" w:cs="Times New Roman"/>
          <w:b/>
          <w:bCs/>
          <w:szCs w:val="24"/>
          <w:lang w:eastAsia="en-AU"/>
        </w:rPr>
        <w:t>C1</w:t>
      </w:r>
      <w:r w:rsidRPr="00D841AB">
        <w:rPr>
          <w:rFonts w:eastAsia="Times New Roman" w:cs="Times New Roman"/>
          <w:szCs w:val="24"/>
          <w:lang w:eastAsia="en-AU"/>
        </w:rPr>
        <w:t>)</w:t>
      </w:r>
      <w:r w:rsidRPr="00D841AB">
        <w:rPr>
          <w:rFonts w:eastAsia="Times New Roman" w:cs="Times New Roman"/>
          <w:b/>
          <w:bCs/>
          <w:szCs w:val="24"/>
          <w:lang w:eastAsia="en-AU"/>
        </w:rPr>
        <w:t>.</w:t>
      </w:r>
      <w:r w:rsidRPr="00F81774">
        <w:rPr>
          <w:rFonts w:eastAsia="Times New Roman" w:cs="Times New Roman"/>
          <w:szCs w:val="24"/>
          <w:lang w:eastAsia="en-AU"/>
        </w:rPr>
        <w:t xml:space="preserve">  This was </w:t>
      </w:r>
      <w:r w:rsidR="008C04E4">
        <w:rPr>
          <w:rFonts w:eastAsia="Times New Roman" w:cs="Times New Roman"/>
          <w:szCs w:val="24"/>
          <w:lang w:eastAsia="en-AU"/>
        </w:rPr>
        <w:t>performed</w:t>
      </w:r>
      <w:r w:rsidRPr="00F81774">
        <w:rPr>
          <w:rFonts w:eastAsia="Times New Roman" w:cs="Times New Roman"/>
          <w:szCs w:val="24"/>
          <w:lang w:eastAsia="en-AU"/>
        </w:rPr>
        <w:t xml:space="preserve"> to </w:t>
      </w:r>
      <w:r w:rsidR="008C04E4">
        <w:rPr>
          <w:rFonts w:eastAsia="Times New Roman" w:cs="Times New Roman"/>
          <w:szCs w:val="24"/>
          <w:lang w:eastAsia="en-AU"/>
        </w:rPr>
        <w:t xml:space="preserve">provide a perspective for </w:t>
      </w:r>
      <w:r w:rsidRPr="00F81774">
        <w:rPr>
          <w:rFonts w:eastAsia="Times New Roman" w:cs="Times New Roman"/>
          <w:szCs w:val="24"/>
          <w:lang w:eastAsia="en-AU"/>
        </w:rPr>
        <w:t xml:space="preserve">the technical feasibility of </w:t>
      </w:r>
      <w:r w:rsidR="008C04E4">
        <w:rPr>
          <w:rFonts w:eastAsia="Times New Roman" w:cs="Times New Roman"/>
          <w:szCs w:val="24"/>
          <w:lang w:eastAsia="en-AU"/>
        </w:rPr>
        <w:t>a hydrogen export value chain</w:t>
      </w:r>
      <w:r w:rsidRPr="00F81774">
        <w:rPr>
          <w:rFonts w:eastAsia="Times New Roman" w:cs="Times New Roman"/>
          <w:szCs w:val="24"/>
          <w:lang w:eastAsia="en-AU"/>
        </w:rPr>
        <w:t xml:space="preserve">. The assessment of the entire chain is taken as the minimum TRL value for each constituent of the chain (hydrogen carrier production/liquefaction, port infrastructure at source and destination country, </w:t>
      </w:r>
      <w:proofErr w:type="gramStart"/>
      <w:r w:rsidRPr="00F81774">
        <w:rPr>
          <w:rFonts w:eastAsia="Times New Roman" w:cs="Times New Roman"/>
          <w:szCs w:val="24"/>
          <w:lang w:eastAsia="en-AU"/>
        </w:rPr>
        <w:t>transport</w:t>
      </w:r>
      <w:proofErr w:type="gramEnd"/>
      <w:r w:rsidRPr="00F81774">
        <w:rPr>
          <w:rFonts w:eastAsia="Times New Roman" w:cs="Times New Roman"/>
          <w:szCs w:val="24"/>
          <w:lang w:eastAsia="en-AU"/>
        </w:rPr>
        <w:t xml:space="preserve"> and hydrogen recovery.</w:t>
      </w:r>
    </w:p>
    <w:p w14:paraId="2D17C0F5" w14:textId="4AA656EE" w:rsidR="00E410CD"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t xml:space="preserve">Ammonia, </w:t>
      </w:r>
      <w:proofErr w:type="gramStart"/>
      <w:r w:rsidRPr="00F81774">
        <w:rPr>
          <w:rFonts w:eastAsia="Times New Roman" w:cs="Times New Roman"/>
          <w:szCs w:val="24"/>
          <w:lang w:eastAsia="en-AU"/>
        </w:rPr>
        <w:t>methane</w:t>
      </w:r>
      <w:proofErr w:type="gramEnd"/>
      <w:r w:rsidRPr="00F81774">
        <w:rPr>
          <w:rFonts w:eastAsia="Times New Roman" w:cs="Times New Roman"/>
          <w:szCs w:val="24"/>
          <w:lang w:eastAsia="en-AU"/>
        </w:rPr>
        <w:t xml:space="preserve"> and methanol all have existing </w:t>
      </w:r>
      <w:r>
        <w:rPr>
          <w:rFonts w:eastAsia="Times New Roman" w:cs="Times New Roman"/>
          <w:szCs w:val="24"/>
          <w:lang w:eastAsia="en-AU"/>
        </w:rPr>
        <w:t>production</w:t>
      </w:r>
      <w:r w:rsidRPr="00F81774">
        <w:rPr>
          <w:rFonts w:eastAsia="Times New Roman" w:cs="Times New Roman"/>
          <w:szCs w:val="24"/>
          <w:lang w:eastAsia="en-AU"/>
        </w:rPr>
        <w:t>, storage, export and retrieval processes which could be applied within a hydrogen value chain. As such these were evaluated as having the highest technical readiness level of 9.</w:t>
      </w:r>
      <w:r>
        <w:rPr>
          <w:rFonts w:eastAsia="Times New Roman" w:cs="Times New Roman"/>
          <w:szCs w:val="24"/>
          <w:lang w:eastAsia="en-AU"/>
        </w:rPr>
        <w:fldChar w:fldCharType="begin" w:fldLock="1"/>
      </w:r>
      <w:r w:rsidR="00FF4E1A">
        <w:rPr>
          <w:rFonts w:eastAsia="Times New Roman" w:cs="Times New Roman"/>
          <w:szCs w:val="24"/>
          <w:lang w:eastAsia="en-AU"/>
        </w:rPr>
        <w:instrText>ADDIN CSL_CITATION {"citationItems":[{"id":"ITEM-1","itemData":{"DOI":"10.1039/c8ee02700e","ISSN":"17545706","abstract":"Long-distance transport and long-term storage of hydrogen can be realized with Liquid Organic Hydrogen Carriers (LOHC) based on a two-step cycle: (1) loading of hydrogen (hydrogenation) into the LOHC molecule (i.e., hydrogen is covalently bound to the LOHC) and (2) unloading of hydrogen (dehydrogenation) after transport and storage. Since the (optimal) LOHC is liquid at ambient conditions and shows similar properties to crude oil based liquids (e.g. diesel, and gasoline), handling and storage is realized by well-known processes; thus stepwise adaptation of the existing crude oil based infrastructure is basically possible. Against this background, a defined process chain for intercontinental ship transport of hydrogen (5000 km) is simulated with various LOHCs. The respective results are evaluated and assessed related to their technological and economic performance. Additionally, they are compared to a pipeline-based provision chain based on compressed hydrogen (CGH 2 ). Among others, the results show that methanol is the cheapest LOHC option for storage and transportation followed by dibenzyltoluene and toluene. For a storage time of 60 days they show economic advantages compared to compressed hydrogen (CGH 2 ) under the defined assumptions; thus these LOHC options are especially advantageous for long-term storage/long distance transport applications. The energetic efficiency of the systems mainly depends on the source of the dehydrogenation heat. Two options, dehydrogenation driven by hydrogen burning vs. dehydrogenation driven by waste heat, have been evaluated in this study. Systems that run on waste heat perform much better in terms of efficiency. Overall, LOHCs can provide technologically efficient and economic promising storage and transport within a sustainable hydrogen economy.","author":[{"dropping-particle":"","family":"Niermann","given":"M.","non-dropping-particle":"","parse-names":false,"suffix":""},{"dropping-particle":"","family":"Drünert","given":"S.","non-dropping-particle":"","parse-names":false,"suffix":""},{"dropping-particle":"","family":"Kaltschmitt","given":"M.","non-dropping-particle":"","parse-names":false,"suffix":""},{"dropping-particle":"","family":"Bonhoff","given":"K.","non-dropping-particle":"","parse-names":false,"suffix":""}],"container-title":"Energy and Environmental Science","id":"ITEM-1","issue":"1","issued":{"date-parts":[["2019","1"]]},"page":"290-307","publisher":"Royal Society of Chemistry","title":"Liquid organic hydrogen carriers (LOHCs)-techno-economic analysis of LOHCs in a defined process chain","type":"article-journal","volume":"12"},"uris":["http://www.mendeley.com/documents/?uuid=c5187127-45e8-39dc-a233-97245c79b3b1","http://www.mendeley.com/documents/?uuid=9acb6151-6d46-4632-b39f-b9986df5f9f1","http://www.mendeley.com/documents/?uuid=d0d97185-3037-4a76-a648-6faf44538922"]},{"id":"ITEM-2","itemData":{"DOI":"https://doi.org/10.1016/j.rser.2018.01.007","ISSN":"1364-0321","abstract":"In addition to carbon capture and storage, efforts are also being focussed on using captured CO2, both directly as a working fluid and in chemical conversion processes, as a key strategy for mitigating climate change and achieving resource efficiency. These processes require large amounts of energy, which should come from sustainable and, ideally, renewable sources. A strong value chain is required to support the production of valuable products from CO2. A value chain is a network of technologies and infrastructures (such as conversion, transportation, storage) along with its associated activities (such as sourcing raw materials, processing, logistics, inventory management, waste management) required to convert low-value resources to high-value products and energy services, and deliver them to customers. A CO2 value chain involves production of CO2 (involving capture and purification), technologies that convert CO2 and other materials into valuable products, sourcing of low-carbon energy to drive all of the transformation processes required to convert CO2 to products (including production of hydrogen, syngas, methane etc.), transport of energy and materials to where they are needed, managing inventory levels of resources, and delivering the products to customers, all in order to create value (economic, environmental, social etc.). Technologies underpinning future CO2 value chains were examined. CO2 conversion technologies, such as urea production, Sabatier synthesis, Fischer-Tropsch synthesis, hydrogenation to methanol, dry reforming, hydrogenation to formic acid and electrochemical reduction, were assessed and compared based on key performance indicators such as: CAPEX, OPEX, electricity consumption, TRL, product price, net CO2 consumption etc. Technologies for transport and storage of key resources are also discussed. This work lays the foundation for a comprehensive whole-system value chain analysis, modelling and optimisation.","author":[{"dropping-particle":"","family":"Jarvis","given":"Sean M","non-dropping-particle":"","parse-names":false,"suffix":""},{"dropping-particle":"","family":"Samsatli","given":"Sheila","non-dropping-particle":"","parse-names":false,"suffix":""}],"container-title":"Renewable and Sustainable Energy Reviews","id":"ITEM-2","issued":{"date-parts":[["2018"]]},"page":"46-68","title":"Technologies and infrastructures underpinning future CO2 value chains: A comprehensive review and comparative analysis","type":"article-journal","volume":"85"},"uris":["http://www.mendeley.com/documents/?uuid=cbc3aa1d-2e2b-4de3-9dd8-d23c22f6bebb","http://www.mendeley.com/documents/?uuid=5b5daf82-82df-47fe-82a2-a3569e6589a2"]},{"id":"ITEM-3","itemData":{"abstract":"The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P","given":"","non-dropping-particle":"","parse-names":false,"suffix":""}],"id":"ITEM-3","issued":{"date-parts":[["2019"]]},"publisher":"CSIRO","title":"Pathways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mendeley":{"formattedCitation":"&lt;sup&gt;93–95&lt;/sup&gt;","plainTextFormattedCitation":"93–95","previouslyFormattedCitation":"&lt;sup&gt;93–95&lt;/sup&gt;"},"properties":{"noteIndex":0},"schema":"https://github.com/citation-style-language/schema/raw/master/csl-citation.json"}</w:instrText>
      </w:r>
      <w:r>
        <w:rPr>
          <w:rFonts w:eastAsia="Times New Roman" w:cs="Times New Roman"/>
          <w:szCs w:val="24"/>
          <w:lang w:eastAsia="en-AU"/>
        </w:rPr>
        <w:fldChar w:fldCharType="separate"/>
      </w:r>
      <w:r w:rsidR="00BD7196" w:rsidRPr="00BD7196">
        <w:rPr>
          <w:rFonts w:eastAsia="Times New Roman" w:cs="Times New Roman"/>
          <w:noProof/>
          <w:szCs w:val="24"/>
          <w:vertAlign w:val="superscript"/>
          <w:lang w:eastAsia="en-AU"/>
        </w:rPr>
        <w:t>93–95</w:t>
      </w:r>
      <w:r>
        <w:rPr>
          <w:rFonts w:eastAsia="Times New Roman" w:cs="Times New Roman"/>
          <w:szCs w:val="24"/>
          <w:lang w:eastAsia="en-AU"/>
        </w:rPr>
        <w:fldChar w:fldCharType="end"/>
      </w:r>
      <w:r w:rsidRPr="00F81774">
        <w:rPr>
          <w:rFonts w:eastAsia="Times New Roman" w:cs="Times New Roman"/>
          <w:szCs w:val="24"/>
          <w:lang w:eastAsia="en-AU"/>
        </w:rPr>
        <w:t xml:space="preserve"> As previously discussed, the production and storage of liquefied hydrogen exists. However, intercontinental transport infrastructure is still being developed, with construction currently occurring within Japan, leading to a TRL assessment of 7. Furthermore, LOHCs exist within a range of TRL values, with more promising LOHCs such as</w:t>
      </w:r>
      <w:r>
        <w:rPr>
          <w:rFonts w:eastAsia="Times New Roman" w:cs="Times New Roman"/>
          <w:szCs w:val="24"/>
          <w:lang w:eastAsia="en-AU"/>
        </w:rPr>
        <w:t xml:space="preserve"> DME</w:t>
      </w:r>
      <w:r w:rsidRPr="00F81774">
        <w:rPr>
          <w:rFonts w:eastAsia="Times New Roman" w:cs="Times New Roman"/>
          <w:szCs w:val="24"/>
          <w:lang w:eastAsia="en-AU"/>
        </w:rPr>
        <w:t xml:space="preserve"> having </w:t>
      </w:r>
      <w:r>
        <w:rPr>
          <w:rFonts w:eastAsia="Times New Roman" w:cs="Times New Roman"/>
          <w:szCs w:val="24"/>
          <w:lang w:eastAsia="en-AU"/>
        </w:rPr>
        <w:t>a</w:t>
      </w:r>
      <w:r w:rsidRPr="00F81774">
        <w:rPr>
          <w:rFonts w:eastAsia="Times New Roman" w:cs="Times New Roman"/>
          <w:szCs w:val="24"/>
          <w:lang w:eastAsia="en-AU"/>
        </w:rPr>
        <w:t xml:space="preserve"> TRL 7 used within this assessment.</w:t>
      </w:r>
      <w:r>
        <w:rPr>
          <w:rFonts w:eastAsia="Times New Roman" w:cs="Times New Roman"/>
          <w:szCs w:val="24"/>
          <w:lang w:eastAsia="en-AU"/>
        </w:rPr>
        <w:fldChar w:fldCharType="begin" w:fldLock="1"/>
      </w:r>
      <w:r w:rsidR="00FF4E1A">
        <w:rPr>
          <w:rFonts w:eastAsia="Times New Roman" w:cs="Times New Roman"/>
          <w:szCs w:val="24"/>
          <w:lang w:eastAsia="en-AU"/>
        </w:rPr>
        <w:instrText>ADDIN CSL_CITATION {"citationItems":[{"id":"ITEM-1","itemData":{"DOI":"10.1039/c8ee02700e","ISSN":"17545706","abstract":"Long-distance transport and long-term storage of hydrogen can be realized with Liquid Organic Hydrogen Carriers (LOHC) based on a two-step cycle: (1) loading of hydrogen (hydrogenation) into the LOHC molecule (i.e., hydrogen is covalently bound to the LOHC) and (2) unloading of hydrogen (dehydrogenation) after transport and storage. Since the (optimal) LOHC is liquid at ambient conditions and shows similar properties to crude oil based liquids (e.g. diesel, and gasoline), handling and storage is realized by well-known processes; thus stepwise adaptation of the existing crude oil based infrastructure is basically possible. Against this background, a defined process chain for intercontinental ship transport of hydrogen (5000 km) is simulated with various LOHCs. The respective results are evaluated and assessed related to their technological and economic performance. Additionally, they are compared to a pipeline-based provision chain based on compressed hydrogen (CGH 2 ). Among others, the results show that methanol is the cheapest LOHC option for storage and transportation followed by dibenzyltoluene and toluene. For a storage time of 60 days they show economic advantages compared to compressed hydrogen (CGH 2 ) under the defined assumptions; thus these LOHC options are especially advantageous for long-term storage/long distance transport applications. The energetic efficiency of the systems mainly depends on the source of the dehydrogenation heat. Two options, dehydrogenation driven by hydrogen burning vs. dehydrogenation driven by waste heat, have been evaluated in this study. Systems that run on waste heat perform much better in terms of efficiency. Overall, LOHCs can provide technologically efficient and economic promising storage and transport within a sustainable hydrogen economy.","author":[{"dropping-particle":"","family":"Niermann","given":"M.","non-dropping-particle":"","parse-names":false,"suffix":""},{"dropping-particle":"","family":"Drünert","given":"S.","non-dropping-particle":"","parse-names":false,"suffix":""},{"dropping-particle":"","family":"Kaltschmitt","given":"M.","non-dropping-particle":"","parse-names":false,"suffix":""},{"dropping-particle":"","family":"Bonhoff","given":"K.","non-dropping-particle":"","parse-names":false,"suffix":""}],"container-title":"Energy and Environmental Science","id":"ITEM-1","issue":"1","issued":{"date-parts":[["2019","1"]]},"page":"290-307","publisher":"Royal Society of Chemistry","title":"Liquid organic hydrogen carriers (LOHCs)-techno-economic analysis of LOHCs in a defined process chain","type":"article-journal","volume":"12"},"uris":["http://www.mendeley.com/documents/?uuid=d0d97185-3037-4a76-a648-6faf44538922","http://www.mendeley.com/documents/?uuid=9acb6151-6d46-4632-b39f-b9986df5f9f1","http://www.mendeley.com/documents/?uuid=c5187127-45e8-39dc-a233-97245c79b3b1"]},{"id":"ITEM-2","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P","given":"","non-dropping-particle":"","parse-names":false,"suffix":""}],"id":"ITEM-2","issued":{"date-parts":[["2019"]]},"publisher":"CSIRO","title":"Pathways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http://www.mendeley.com/documents/?uuid=12eb2b32-846f-480d-b3ce-0c448e105a1c","http://www.mendeley.com/documents/?uuid=d257c018-c90e-4439-80f1-ddd859b8dadd"]}],"mendeley":{"formattedCitation":"&lt;sup&gt;93,95&lt;/sup&gt;","plainTextFormattedCitation":"93,95","previouslyFormattedCitation":"&lt;sup&gt;93,95&lt;/sup&gt;"},"properties":{"noteIndex":0},"schema":"https://github.com/citation-style-language/schema/raw/master/csl-citation.json"}</w:instrText>
      </w:r>
      <w:r>
        <w:rPr>
          <w:rFonts w:eastAsia="Times New Roman" w:cs="Times New Roman"/>
          <w:szCs w:val="24"/>
          <w:lang w:eastAsia="en-AU"/>
        </w:rPr>
        <w:fldChar w:fldCharType="separate"/>
      </w:r>
      <w:r w:rsidR="00BD7196" w:rsidRPr="00BD7196">
        <w:rPr>
          <w:rFonts w:eastAsia="Times New Roman" w:cs="Times New Roman"/>
          <w:noProof/>
          <w:szCs w:val="24"/>
          <w:vertAlign w:val="superscript"/>
          <w:lang w:eastAsia="en-AU"/>
        </w:rPr>
        <w:t>93,95</w:t>
      </w:r>
      <w:r>
        <w:rPr>
          <w:rFonts w:eastAsia="Times New Roman" w:cs="Times New Roman"/>
          <w:szCs w:val="24"/>
          <w:lang w:eastAsia="en-AU"/>
        </w:rPr>
        <w:fldChar w:fldCharType="end"/>
      </w:r>
    </w:p>
    <w:p w14:paraId="03524FCC" w14:textId="691797EC" w:rsidR="00E410CD" w:rsidRPr="00264157" w:rsidRDefault="00A62684" w:rsidP="00264157">
      <w:pPr>
        <w:rPr>
          <w:u w:val="single"/>
          <w:lang w:eastAsia="en-AU"/>
        </w:rPr>
      </w:pPr>
      <w:r w:rsidRPr="00264157">
        <w:rPr>
          <w:u w:val="single"/>
          <w:lang w:eastAsia="en-AU"/>
        </w:rPr>
        <w:t xml:space="preserve">Capital </w:t>
      </w:r>
      <w:r w:rsidR="00706CC9" w:rsidRPr="00264157">
        <w:rPr>
          <w:u w:val="single"/>
          <w:lang w:eastAsia="en-AU"/>
        </w:rPr>
        <w:t xml:space="preserve">Expenditure - </w:t>
      </w:r>
      <w:r w:rsidR="00E410CD" w:rsidRPr="00264157">
        <w:rPr>
          <w:u w:val="single"/>
          <w:lang w:eastAsia="en-AU"/>
        </w:rPr>
        <w:t xml:space="preserve">CAPEX </w:t>
      </w:r>
    </w:p>
    <w:p w14:paraId="07CC01F4" w14:textId="4550D984" w:rsidR="00E410CD" w:rsidRPr="00F81774"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t xml:space="preserve">To measure CAPEX for comparison between storage </w:t>
      </w:r>
      <w:r>
        <w:rPr>
          <w:rFonts w:eastAsia="Times New Roman" w:cs="Times New Roman"/>
          <w:szCs w:val="24"/>
          <w:lang w:eastAsia="en-AU"/>
        </w:rPr>
        <w:t xml:space="preserve">and transportation </w:t>
      </w:r>
      <w:r w:rsidRPr="00F81774">
        <w:rPr>
          <w:rFonts w:eastAsia="Times New Roman" w:cs="Times New Roman"/>
          <w:szCs w:val="24"/>
          <w:lang w:eastAsia="en-AU"/>
        </w:rPr>
        <w:t xml:space="preserve">methods, it has been normalised to the </w:t>
      </w:r>
      <w:r w:rsidR="008C04E4">
        <w:rPr>
          <w:rFonts w:eastAsia="Times New Roman" w:cs="Times New Roman"/>
          <w:szCs w:val="24"/>
          <w:lang w:eastAsia="en-AU"/>
        </w:rPr>
        <w:t>AUD</w:t>
      </w:r>
      <w:r w:rsidRPr="00F81774">
        <w:rPr>
          <w:rFonts w:eastAsia="Times New Roman" w:cs="Times New Roman"/>
          <w:szCs w:val="24"/>
          <w:lang w:eastAsia="en-AU"/>
        </w:rPr>
        <w:t xml:space="preserve"> per kWh per annum across the technologies</w:t>
      </w:r>
      <w:r w:rsidR="00E11BE8">
        <w:rPr>
          <w:rFonts w:eastAsia="Times New Roman" w:cs="Times New Roman"/>
          <w:szCs w:val="24"/>
          <w:lang w:eastAsia="en-AU"/>
        </w:rPr>
        <w:t xml:space="preserve"> (30 year</w:t>
      </w:r>
      <w:r w:rsidR="00696BFC">
        <w:rPr>
          <w:rFonts w:eastAsia="Times New Roman" w:cs="Times New Roman"/>
          <w:szCs w:val="24"/>
          <w:lang w:eastAsia="en-AU"/>
        </w:rPr>
        <w:t>s project life</w:t>
      </w:r>
      <w:r w:rsidR="00E11BE8">
        <w:rPr>
          <w:rFonts w:eastAsia="Times New Roman" w:cs="Times New Roman"/>
          <w:szCs w:val="24"/>
          <w:lang w:eastAsia="en-AU"/>
        </w:rPr>
        <w:t>)</w:t>
      </w:r>
      <w:r w:rsidRPr="00F81774">
        <w:rPr>
          <w:rFonts w:eastAsia="Times New Roman" w:cs="Times New Roman"/>
          <w:szCs w:val="24"/>
          <w:lang w:eastAsia="en-AU"/>
        </w:rPr>
        <w:t>. This incorporates storage and transportation capital expenses. It also includes production and hydrogen retrieval facility costs for hydrogen carriers as well as liquefaction costs for methane and liquefied hydrogen. Values have been converted from the models within peer-reviewed published literature and commercial feasibility studies. These capital costs do not include the hydrogen production cost or utilisation costs.</w:t>
      </w:r>
    </w:p>
    <w:p w14:paraId="5DE9243E" w14:textId="4EFBF188" w:rsidR="00A62684" w:rsidRPr="00706CC9" w:rsidRDefault="00E410CD" w:rsidP="00706CC9">
      <w:pPr>
        <w:spacing w:line="240" w:lineRule="auto"/>
        <w:jc w:val="both"/>
        <w:rPr>
          <w:rFonts w:eastAsia="Times New Roman" w:cs="Times New Roman"/>
          <w:szCs w:val="24"/>
          <w:lang w:eastAsia="en-AU"/>
        </w:rPr>
      </w:pPr>
      <w:r w:rsidRPr="00F81774">
        <w:rPr>
          <w:rFonts w:eastAsia="Times New Roman" w:cs="Times New Roman"/>
          <w:szCs w:val="24"/>
          <w:lang w:eastAsia="en-AU"/>
        </w:rPr>
        <w:t xml:space="preserve">Modelling indicates that methane has the lowest CAPEX. This is due to the existence of large-scale methane value chains and a fully developed liquefaction process and export industry. Liquefied hydrogen and methanol follow with similar </w:t>
      </w:r>
      <w:r>
        <w:rPr>
          <w:rFonts w:eastAsia="Times New Roman" w:cs="Times New Roman"/>
          <w:szCs w:val="24"/>
          <w:lang w:eastAsia="en-AU"/>
        </w:rPr>
        <w:t>CAPEX</w:t>
      </w:r>
      <w:r w:rsidRPr="00F81774">
        <w:rPr>
          <w:rFonts w:eastAsia="Times New Roman" w:cs="Times New Roman"/>
          <w:szCs w:val="24"/>
          <w:lang w:eastAsia="en-AU"/>
        </w:rPr>
        <w:t xml:space="preserve"> costs. Ammonia is relatively expensive with the non-existence of large-scale LOHCs export meaning economies of scale gains are unknown at this point, leading to a large CAPEX. </w:t>
      </w:r>
    </w:p>
    <w:p w14:paraId="452517A2" w14:textId="37DC6EDE" w:rsidR="00A62684" w:rsidRPr="00603099" w:rsidRDefault="00A62684" w:rsidP="00603099">
      <w:pPr>
        <w:rPr>
          <w:u w:val="single"/>
          <w:lang w:eastAsia="en-AU"/>
        </w:rPr>
      </w:pPr>
      <w:r w:rsidRPr="00603099">
        <w:rPr>
          <w:u w:val="single"/>
          <w:lang w:eastAsia="en-AU"/>
        </w:rPr>
        <w:t xml:space="preserve">Operating </w:t>
      </w:r>
      <w:r w:rsidR="00706CC9" w:rsidRPr="00603099">
        <w:rPr>
          <w:u w:val="single"/>
          <w:lang w:eastAsia="en-AU"/>
        </w:rPr>
        <w:t xml:space="preserve">Expenditure </w:t>
      </w:r>
      <w:r w:rsidRPr="00603099">
        <w:rPr>
          <w:u w:val="single"/>
          <w:lang w:eastAsia="en-AU"/>
        </w:rPr>
        <w:t>- OPEX</w:t>
      </w:r>
    </w:p>
    <w:p w14:paraId="62B58C29" w14:textId="77777777" w:rsidR="00E410CD" w:rsidRPr="00F81774"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lastRenderedPageBreak/>
        <w:t xml:space="preserve">To measure OPEX for comparison between storage </w:t>
      </w:r>
      <w:r>
        <w:rPr>
          <w:rFonts w:eastAsia="Times New Roman" w:cs="Times New Roman"/>
          <w:szCs w:val="24"/>
          <w:lang w:eastAsia="en-AU"/>
        </w:rPr>
        <w:t xml:space="preserve">and transportation </w:t>
      </w:r>
      <w:r w:rsidRPr="00F81774">
        <w:rPr>
          <w:rFonts w:eastAsia="Times New Roman" w:cs="Times New Roman"/>
          <w:szCs w:val="24"/>
          <w:lang w:eastAsia="en-AU"/>
        </w:rPr>
        <w:t xml:space="preserve">methods, it has been normalised to dollars per kWh per annum across the technologies. This incorporates storage and transportation operating expenses. It also includes production and hydrogen retrieval facility operating costs for hydrogen carriers as well as liquefaction operating costs for methane and liquefied hydrogen. Values have been converted from the models within peer-reviewed published literature and commercial feasibility studies. </w:t>
      </w:r>
    </w:p>
    <w:p w14:paraId="69CEDF87" w14:textId="77777777" w:rsidR="00E410CD" w:rsidRPr="00F81774" w:rsidRDefault="00E410CD" w:rsidP="00E410CD">
      <w:pPr>
        <w:spacing w:line="240" w:lineRule="auto"/>
        <w:jc w:val="both"/>
        <w:rPr>
          <w:rFonts w:eastAsia="Times New Roman" w:cs="Times New Roman"/>
          <w:szCs w:val="24"/>
          <w:lang w:eastAsia="en-AU"/>
        </w:rPr>
      </w:pPr>
      <w:r w:rsidRPr="00F81774">
        <w:rPr>
          <w:rFonts w:eastAsia="Times New Roman" w:cs="Times New Roman"/>
          <w:szCs w:val="24"/>
          <w:lang w:eastAsia="en-AU"/>
        </w:rPr>
        <w:t xml:space="preserve">As with CAPEX, methane has the lowest OPEX owing to the process being the most developed as an energy storage medium. However, ammonia and methanol are both similar in value. Liquefied hydrogen is more energy intensive in the cooling to cryogenic conditions and subsequent maintenance of those conditions, leading to the higher OPEX. As previously stated, LOHCs are underdeveloped technologies and as such are relatively less energy efficient, with expensive carbon-chain source materials, making them relatively more expensive. </w:t>
      </w:r>
    </w:p>
    <w:p w14:paraId="406227B1" w14:textId="467EC583" w:rsidR="00E410CD" w:rsidRDefault="00706CC9" w:rsidP="00706CC9">
      <w:pPr>
        <w:spacing w:before="240"/>
        <w:rPr>
          <w:b/>
          <w:bCs/>
          <w:sz w:val="28"/>
          <w:szCs w:val="28"/>
          <w:lang w:eastAsia="en-AU"/>
        </w:rPr>
      </w:pPr>
      <w:r w:rsidRPr="00706CC9">
        <w:rPr>
          <w:b/>
          <w:bCs/>
          <w:sz w:val="28"/>
          <w:szCs w:val="28"/>
          <w:lang w:eastAsia="en-AU"/>
        </w:rPr>
        <w:t>D.</w:t>
      </w:r>
      <w:r w:rsidR="00603099">
        <w:rPr>
          <w:b/>
          <w:bCs/>
          <w:sz w:val="28"/>
          <w:szCs w:val="28"/>
          <w:lang w:eastAsia="en-AU"/>
        </w:rPr>
        <w:t>2</w:t>
      </w:r>
      <w:r w:rsidRPr="00706CC9">
        <w:rPr>
          <w:b/>
          <w:bCs/>
          <w:sz w:val="28"/>
          <w:szCs w:val="28"/>
          <w:lang w:eastAsia="en-AU"/>
        </w:rPr>
        <w:t xml:space="preserve">. </w:t>
      </w:r>
      <w:r w:rsidR="00603099">
        <w:rPr>
          <w:b/>
          <w:bCs/>
          <w:sz w:val="28"/>
          <w:szCs w:val="28"/>
          <w:lang w:eastAsia="en-AU"/>
        </w:rPr>
        <w:t>Hydrogen Export Metrics</w:t>
      </w:r>
    </w:p>
    <w:p w14:paraId="086C10EE" w14:textId="2BACB8DE" w:rsidR="00ED685A" w:rsidRPr="00E05B20" w:rsidRDefault="00ED685A" w:rsidP="00ED685A">
      <w:pPr>
        <w:jc w:val="both"/>
        <w:rPr>
          <w:color w:val="auto"/>
          <w:u w:val="single"/>
          <w:lang w:eastAsia="en-AU"/>
        </w:rPr>
      </w:pPr>
      <w:r w:rsidRPr="00E05B20">
        <w:rPr>
          <w:color w:val="auto"/>
          <w:u w:val="single"/>
          <w:lang w:eastAsia="en-AU"/>
        </w:rPr>
        <w:t>Hydrogen Storage Density</w:t>
      </w:r>
    </w:p>
    <w:p w14:paraId="21C5D3F3" w14:textId="59B1BF10" w:rsidR="00ED685A" w:rsidRPr="00ED685A" w:rsidRDefault="00ED685A" w:rsidP="00ED685A">
      <w:pPr>
        <w:jc w:val="both"/>
        <w:rPr>
          <w:color w:val="auto"/>
          <w:lang w:eastAsia="en-AU"/>
        </w:rPr>
      </w:pPr>
      <w:r w:rsidRPr="00ED685A">
        <w:rPr>
          <w:color w:val="auto"/>
          <w:lang w:eastAsia="en-AU"/>
        </w:rPr>
        <w:t>The hydrogen storage density is the measurement of weight % of hydrogen within the carrier. This reflects the actual quantity of hydrogen stored and transporte</w:t>
      </w:r>
      <w:r w:rsidR="00E05B20">
        <w:rPr>
          <w:color w:val="auto"/>
          <w:lang w:eastAsia="en-AU"/>
        </w:rPr>
        <w:t>d</w:t>
      </w:r>
      <w:r w:rsidRPr="00ED685A">
        <w:rPr>
          <w:color w:val="auto"/>
          <w:lang w:eastAsia="en-AU"/>
        </w:rPr>
        <w:t>, as opposed to the total energy of the carriers which is discussed with the energy export metrics (</w:t>
      </w:r>
      <w:r w:rsidRPr="00ED685A">
        <w:rPr>
          <w:b/>
          <w:bCs/>
          <w:color w:val="auto"/>
          <w:lang w:eastAsia="en-AU"/>
        </w:rPr>
        <w:t xml:space="preserve">Section </w:t>
      </w:r>
      <w:r w:rsidR="00B77C53">
        <w:rPr>
          <w:b/>
          <w:bCs/>
          <w:color w:val="auto"/>
          <w:lang w:eastAsia="en-AU"/>
        </w:rPr>
        <w:t>C</w:t>
      </w:r>
      <w:r w:rsidRPr="00ED685A">
        <w:rPr>
          <w:b/>
          <w:bCs/>
          <w:color w:val="auto"/>
          <w:lang w:eastAsia="en-AU"/>
        </w:rPr>
        <w:t>.3</w:t>
      </w:r>
      <w:r w:rsidRPr="00ED685A">
        <w:rPr>
          <w:color w:val="auto"/>
          <w:lang w:eastAsia="en-AU"/>
        </w:rPr>
        <w:t xml:space="preserve">). Naturally, liquefied hydrogen has the highest hydrogen storage density of 100% as it is comprised solely of hydrogen molecules. This is followed by methane and ammonia, with molecules containing a single carbon and nitrogen </w:t>
      </w:r>
      <w:r w:rsidR="00E05B20" w:rsidRPr="00ED685A">
        <w:rPr>
          <w:color w:val="auto"/>
          <w:lang w:eastAsia="en-AU"/>
        </w:rPr>
        <w:t>atom,</w:t>
      </w:r>
      <w:r w:rsidRPr="00ED685A">
        <w:rPr>
          <w:color w:val="auto"/>
          <w:lang w:eastAsia="en-AU"/>
        </w:rPr>
        <w:t xml:space="preserve"> respectively. Finally, methanol and other LOHCs contain other additional atoms which reduce the weight % of hydrogen within the carrier. </w:t>
      </w:r>
    </w:p>
    <w:p w14:paraId="1ADDA428" w14:textId="6BE81A1F" w:rsidR="00ED685A" w:rsidRPr="00E05B20" w:rsidRDefault="00ED685A" w:rsidP="00ED685A">
      <w:pPr>
        <w:jc w:val="both"/>
        <w:rPr>
          <w:color w:val="auto"/>
          <w:u w:val="single"/>
          <w:lang w:eastAsia="en-AU"/>
        </w:rPr>
      </w:pPr>
      <w:r w:rsidRPr="00E05B20">
        <w:rPr>
          <w:color w:val="auto"/>
          <w:u w:val="single"/>
          <w:lang w:eastAsia="en-AU"/>
        </w:rPr>
        <w:t>Hydrogen Conversion Efficiency</w:t>
      </w:r>
    </w:p>
    <w:p w14:paraId="35E0C605" w14:textId="209ED862" w:rsidR="00223367" w:rsidRDefault="00ED685A" w:rsidP="00ED685A">
      <w:pPr>
        <w:jc w:val="both"/>
        <w:rPr>
          <w:color w:val="auto"/>
          <w:lang w:eastAsia="en-AU"/>
        </w:rPr>
      </w:pPr>
      <w:r w:rsidRPr="00ED685A">
        <w:rPr>
          <w:color w:val="auto"/>
          <w:lang w:eastAsia="en-AU"/>
        </w:rPr>
        <w:t xml:space="preserve">The hydrogen conversion efficiency is the energy efficiency of converting from the hydrogen carrier </w:t>
      </w:r>
      <w:r w:rsidR="00AD12E9">
        <w:rPr>
          <w:color w:val="auto"/>
          <w:lang w:eastAsia="en-AU"/>
        </w:rPr>
        <w:t xml:space="preserve">back </w:t>
      </w:r>
      <w:r w:rsidR="00223367">
        <w:rPr>
          <w:color w:val="auto"/>
          <w:lang w:eastAsia="en-AU"/>
        </w:rPr>
        <w:t xml:space="preserve">into </w:t>
      </w:r>
      <w:r w:rsidRPr="00ED685A">
        <w:rPr>
          <w:color w:val="auto"/>
          <w:lang w:eastAsia="en-AU"/>
        </w:rPr>
        <w:t>hydrogen</w:t>
      </w:r>
      <w:r w:rsidR="00223367">
        <w:rPr>
          <w:color w:val="auto"/>
          <w:lang w:eastAsia="en-AU"/>
        </w:rPr>
        <w:t xml:space="preserve"> form</w:t>
      </w:r>
      <w:r w:rsidRPr="00ED685A">
        <w:rPr>
          <w:color w:val="auto"/>
          <w:lang w:eastAsia="en-AU"/>
        </w:rPr>
        <w:t>.</w:t>
      </w:r>
      <w:r w:rsidR="00223367">
        <w:rPr>
          <w:color w:val="auto"/>
          <w:lang w:eastAsia="en-AU"/>
        </w:rPr>
        <w:t xml:space="preserve"> This </w:t>
      </w:r>
      <w:r w:rsidR="005D525A">
        <w:rPr>
          <w:color w:val="auto"/>
          <w:lang w:eastAsia="en-AU"/>
        </w:rPr>
        <w:t xml:space="preserve">criterion is designed to facilitate decision making for German stakeholders that are primarily interested in the use of hydrogen in its pure form. Methanol was identified as the </w:t>
      </w:r>
      <w:r w:rsidR="007244DF">
        <w:rPr>
          <w:color w:val="auto"/>
          <w:lang w:eastAsia="en-AU"/>
        </w:rPr>
        <w:t xml:space="preserve">most efficient hydrogen derivative </w:t>
      </w:r>
      <w:r w:rsidR="00B1096E">
        <w:rPr>
          <w:color w:val="auto"/>
          <w:lang w:eastAsia="en-AU"/>
        </w:rPr>
        <w:t>for hydrogen extraction</w:t>
      </w:r>
      <w:r w:rsidR="00276333">
        <w:rPr>
          <w:color w:val="auto"/>
          <w:lang w:eastAsia="en-AU"/>
        </w:rPr>
        <w:t xml:space="preserve"> (excluding </w:t>
      </w:r>
      <w:r w:rsidR="00512D85">
        <w:rPr>
          <w:color w:val="auto"/>
          <w:lang w:eastAsia="en-AU"/>
        </w:rPr>
        <w:t>liquified hydrogen).</w:t>
      </w:r>
    </w:p>
    <w:p w14:paraId="383898FC" w14:textId="1BD9C6FC" w:rsidR="00850AB3" w:rsidRDefault="00B77C53" w:rsidP="00850AB3">
      <w:pPr>
        <w:spacing w:before="240"/>
        <w:rPr>
          <w:b/>
          <w:bCs/>
          <w:sz w:val="28"/>
          <w:szCs w:val="28"/>
          <w:lang w:eastAsia="en-AU"/>
        </w:rPr>
      </w:pPr>
      <w:r>
        <w:rPr>
          <w:b/>
          <w:bCs/>
          <w:sz w:val="28"/>
          <w:szCs w:val="28"/>
          <w:lang w:eastAsia="en-AU"/>
        </w:rPr>
        <w:t>C</w:t>
      </w:r>
      <w:r w:rsidR="00850AB3" w:rsidRPr="00603099">
        <w:rPr>
          <w:b/>
          <w:bCs/>
          <w:sz w:val="28"/>
          <w:szCs w:val="28"/>
          <w:lang w:eastAsia="en-AU"/>
        </w:rPr>
        <w:t>.3. Energy Export Metrics</w:t>
      </w:r>
    </w:p>
    <w:p w14:paraId="6E51CC8B" w14:textId="77777777" w:rsidR="00850AB3" w:rsidRPr="00603099" w:rsidRDefault="00850AB3" w:rsidP="00850AB3">
      <w:pPr>
        <w:spacing w:line="240" w:lineRule="auto"/>
        <w:jc w:val="both"/>
        <w:rPr>
          <w:rFonts w:eastAsia="Times New Roman" w:cs="Times New Roman"/>
          <w:szCs w:val="24"/>
          <w:u w:val="single"/>
          <w:lang w:eastAsia="en-AU"/>
        </w:rPr>
      </w:pPr>
      <w:r>
        <w:rPr>
          <w:rFonts w:eastAsia="Times New Roman" w:cs="Times New Roman"/>
          <w:szCs w:val="24"/>
          <w:u w:val="single"/>
          <w:lang w:eastAsia="en-AU"/>
        </w:rPr>
        <w:t>Volumetric Energy Density</w:t>
      </w:r>
    </w:p>
    <w:p w14:paraId="5320D7E5" w14:textId="02ECB6E4" w:rsidR="00850AB3" w:rsidRDefault="00850AB3" w:rsidP="00850AB3">
      <w:pPr>
        <w:jc w:val="both"/>
        <w:rPr>
          <w:rFonts w:eastAsia="Times New Roman" w:cs="Times New Roman"/>
          <w:szCs w:val="24"/>
          <w:lang w:eastAsia="en-AU"/>
        </w:rPr>
      </w:pPr>
      <w:r w:rsidRPr="009D4C17">
        <w:rPr>
          <w:rFonts w:eastAsia="Times New Roman" w:cs="Times New Roman"/>
          <w:szCs w:val="24"/>
          <w:lang w:eastAsia="en-AU"/>
        </w:rPr>
        <w:t>The volumetric energy density is the energy density per unit volume, herein we considered the volumetric energy density during storage and transport measured in MJ L</w:t>
      </w:r>
      <w:r w:rsidRPr="009D4C17">
        <w:rPr>
          <w:rFonts w:eastAsia="Times New Roman" w:cs="Times New Roman"/>
          <w:szCs w:val="24"/>
          <w:vertAlign w:val="superscript"/>
          <w:lang w:eastAsia="en-AU"/>
        </w:rPr>
        <w:t>-1</w:t>
      </w:r>
      <w:r w:rsidRPr="009D4C17">
        <w:rPr>
          <w:rFonts w:eastAsia="Times New Roman" w:cs="Times New Roman"/>
          <w:szCs w:val="24"/>
          <w:lang w:eastAsia="en-AU"/>
        </w:rPr>
        <w:t xml:space="preserve">. </w:t>
      </w:r>
      <w:r w:rsidR="0003009D" w:rsidRPr="009D4C17">
        <w:rPr>
          <w:rFonts w:eastAsia="Times New Roman" w:cs="Times New Roman"/>
          <w:szCs w:val="24"/>
          <w:lang w:eastAsia="en-AU"/>
        </w:rPr>
        <w:t xml:space="preserve">This metric </w:t>
      </w:r>
      <w:r w:rsidRPr="009D4C17">
        <w:rPr>
          <w:rFonts w:eastAsia="Times New Roman" w:cs="Times New Roman"/>
          <w:szCs w:val="24"/>
          <w:lang w:eastAsia="en-AU"/>
        </w:rPr>
        <w:t xml:space="preserve">was </w:t>
      </w:r>
      <w:r w:rsidR="0003009D" w:rsidRPr="009D4C17">
        <w:rPr>
          <w:rFonts w:eastAsia="Times New Roman" w:cs="Times New Roman"/>
          <w:szCs w:val="24"/>
          <w:lang w:eastAsia="en-AU"/>
        </w:rPr>
        <w:t xml:space="preserve">then </w:t>
      </w:r>
      <w:r w:rsidRPr="009D4C17">
        <w:rPr>
          <w:rFonts w:eastAsia="Times New Roman" w:cs="Times New Roman"/>
          <w:szCs w:val="24"/>
          <w:lang w:eastAsia="en-AU"/>
        </w:rPr>
        <w:t>used to compare the ease of energy storage</w:t>
      </w:r>
      <w:r w:rsidR="0003009D" w:rsidRPr="009D4C17">
        <w:rPr>
          <w:rFonts w:eastAsia="Times New Roman" w:cs="Times New Roman"/>
          <w:szCs w:val="24"/>
          <w:lang w:eastAsia="en-AU"/>
        </w:rPr>
        <w:t>, with a</w:t>
      </w:r>
      <w:r w:rsidRPr="009D4C17">
        <w:rPr>
          <w:rFonts w:eastAsia="Times New Roman" w:cs="Times New Roman"/>
          <w:szCs w:val="24"/>
          <w:lang w:eastAsia="en-AU"/>
        </w:rPr>
        <w:t xml:space="preserve"> greater volumetric energy density indica</w:t>
      </w:r>
      <w:r w:rsidR="0003009D" w:rsidRPr="009D4C17">
        <w:rPr>
          <w:rFonts w:eastAsia="Times New Roman" w:cs="Times New Roman"/>
          <w:szCs w:val="24"/>
          <w:lang w:eastAsia="en-AU"/>
        </w:rPr>
        <w:t>ting</w:t>
      </w:r>
      <w:r w:rsidRPr="009D4C17">
        <w:rPr>
          <w:rFonts w:eastAsia="Times New Roman" w:cs="Times New Roman"/>
          <w:szCs w:val="24"/>
          <w:lang w:eastAsia="en-AU"/>
        </w:rPr>
        <w:t xml:space="preserve"> that less volume is required per MJ</w:t>
      </w:r>
      <w:r w:rsidR="0003009D" w:rsidRPr="009D4C17">
        <w:rPr>
          <w:rFonts w:eastAsia="Times New Roman" w:cs="Times New Roman"/>
          <w:szCs w:val="24"/>
          <w:lang w:eastAsia="en-AU"/>
        </w:rPr>
        <w:t xml:space="preserve"> of energy delivered. This way a carrier with a higher volumetric densit</w:t>
      </w:r>
      <w:r w:rsidR="00AC0BCD" w:rsidRPr="009D4C17">
        <w:rPr>
          <w:rFonts w:eastAsia="Times New Roman" w:cs="Times New Roman"/>
          <w:szCs w:val="24"/>
          <w:lang w:eastAsia="en-AU"/>
        </w:rPr>
        <w:t>y contains</w:t>
      </w:r>
      <w:r w:rsidR="0003009D" w:rsidRPr="009D4C17">
        <w:rPr>
          <w:rFonts w:eastAsia="Times New Roman" w:cs="Times New Roman"/>
          <w:szCs w:val="24"/>
          <w:lang w:eastAsia="en-AU"/>
        </w:rPr>
        <w:t xml:space="preserve"> more energy per </w:t>
      </w:r>
      <w:r w:rsidRPr="009D4C17">
        <w:rPr>
          <w:rFonts w:eastAsia="Times New Roman" w:cs="Times New Roman"/>
          <w:szCs w:val="24"/>
          <w:lang w:eastAsia="en-AU"/>
        </w:rPr>
        <w:t>equivalent volume</w:t>
      </w:r>
      <w:r w:rsidR="0003009D" w:rsidRPr="009D4C17">
        <w:rPr>
          <w:rFonts w:eastAsia="Times New Roman" w:cs="Times New Roman"/>
          <w:szCs w:val="24"/>
          <w:lang w:eastAsia="en-AU"/>
        </w:rPr>
        <w:t xml:space="preserve"> compared to a carrier with low volumet</w:t>
      </w:r>
      <w:r w:rsidR="00F70508" w:rsidRPr="009D4C17">
        <w:rPr>
          <w:rFonts w:eastAsia="Times New Roman" w:cs="Times New Roman"/>
          <w:szCs w:val="24"/>
          <w:lang w:eastAsia="en-AU"/>
        </w:rPr>
        <w:t>ric density</w:t>
      </w:r>
      <w:r w:rsidRPr="009D4C17">
        <w:rPr>
          <w:rFonts w:eastAsia="Times New Roman" w:cs="Times New Roman"/>
          <w:szCs w:val="24"/>
          <w:lang w:eastAsia="en-AU"/>
        </w:rPr>
        <w:t xml:space="preserve">. </w:t>
      </w:r>
      <w:r w:rsidRPr="00F81774">
        <w:rPr>
          <w:rFonts w:eastAsia="Times New Roman" w:cs="Times New Roman"/>
          <w:szCs w:val="24"/>
          <w:lang w:eastAsia="en-AU"/>
        </w:rPr>
        <w:t>Di-methyl Ether</w:t>
      </w:r>
      <w:r>
        <w:rPr>
          <w:rFonts w:eastAsia="Times New Roman" w:cs="Times New Roman"/>
          <w:szCs w:val="24"/>
          <w:lang w:eastAsia="en-AU"/>
        </w:rPr>
        <w:t xml:space="preserve"> (DME)</w:t>
      </w:r>
      <w:r w:rsidRPr="00F81774">
        <w:rPr>
          <w:rFonts w:eastAsia="Times New Roman" w:cs="Times New Roman"/>
          <w:szCs w:val="24"/>
          <w:lang w:eastAsia="en-AU"/>
        </w:rPr>
        <w:t xml:space="preserve">, the LOHC used here for comparison, </w:t>
      </w:r>
      <w:r>
        <w:rPr>
          <w:rFonts w:eastAsia="Times New Roman" w:cs="Times New Roman"/>
          <w:szCs w:val="24"/>
          <w:lang w:eastAsia="en-AU"/>
        </w:rPr>
        <w:t>and methane have</w:t>
      </w:r>
      <w:r w:rsidRPr="00F81774">
        <w:rPr>
          <w:rFonts w:eastAsia="Times New Roman" w:cs="Times New Roman"/>
          <w:szCs w:val="24"/>
          <w:lang w:eastAsia="en-AU"/>
        </w:rPr>
        <w:t xml:space="preserve"> similarly high energy densit</w:t>
      </w:r>
      <w:r>
        <w:rPr>
          <w:rFonts w:eastAsia="Times New Roman" w:cs="Times New Roman"/>
          <w:szCs w:val="24"/>
          <w:lang w:eastAsia="en-AU"/>
        </w:rPr>
        <w:t>y,</w:t>
      </w:r>
      <w:r w:rsidRPr="00F81774">
        <w:rPr>
          <w:rFonts w:eastAsia="Times New Roman" w:cs="Times New Roman"/>
          <w:szCs w:val="24"/>
          <w:lang w:eastAsia="en-AU"/>
        </w:rPr>
        <w:t xml:space="preserve"> due to the higher energy C-H bonds. Ammonia and Methanol both had moderate densities, with liquefied hydrogen having the lowest, exemplifying the difficulties with hydrogen storage. </w:t>
      </w:r>
    </w:p>
    <w:p w14:paraId="2E075F82" w14:textId="77777777" w:rsidR="00850AB3" w:rsidRPr="00850AB3" w:rsidRDefault="00850AB3" w:rsidP="00850AB3">
      <w:pPr>
        <w:spacing w:line="240" w:lineRule="auto"/>
        <w:jc w:val="both"/>
        <w:rPr>
          <w:rFonts w:eastAsia="Times New Roman" w:cs="Times New Roman"/>
          <w:color w:val="auto"/>
          <w:szCs w:val="24"/>
          <w:u w:val="single"/>
          <w:lang w:eastAsia="en-AU"/>
        </w:rPr>
      </w:pPr>
      <w:r w:rsidRPr="00850AB3">
        <w:rPr>
          <w:rFonts w:eastAsia="Times New Roman" w:cs="Times New Roman"/>
          <w:color w:val="auto"/>
          <w:szCs w:val="24"/>
          <w:u w:val="single"/>
          <w:lang w:eastAsia="en-AU"/>
        </w:rPr>
        <w:t>Gravimetric Energy Density</w:t>
      </w:r>
    </w:p>
    <w:p w14:paraId="6BE7C69B" w14:textId="7466EB1B" w:rsidR="00850AB3" w:rsidRPr="00850AB3" w:rsidRDefault="00F70508" w:rsidP="00850AB3">
      <w:pPr>
        <w:jc w:val="both"/>
        <w:rPr>
          <w:rFonts w:eastAsia="Times New Roman" w:cs="Times New Roman"/>
          <w:color w:val="auto"/>
          <w:szCs w:val="24"/>
          <w:lang w:eastAsia="en-AU"/>
        </w:rPr>
      </w:pPr>
      <w:r w:rsidRPr="009D4C17">
        <w:rPr>
          <w:rFonts w:eastAsia="Times New Roman" w:cs="Times New Roman"/>
          <w:szCs w:val="24"/>
          <w:lang w:eastAsia="en-AU"/>
        </w:rPr>
        <w:t>In comparison, t</w:t>
      </w:r>
      <w:r w:rsidR="00850AB3" w:rsidRPr="009D4C17">
        <w:rPr>
          <w:rFonts w:eastAsia="Times New Roman" w:cs="Times New Roman"/>
          <w:szCs w:val="24"/>
          <w:lang w:eastAsia="en-AU"/>
        </w:rPr>
        <w:t>he gravimetric energy density is the energy density per unit mass as opposed to volume</w:t>
      </w:r>
      <w:r w:rsidR="004B3705" w:rsidRPr="009D4C17">
        <w:rPr>
          <w:rFonts w:eastAsia="Times New Roman" w:cs="Times New Roman"/>
          <w:szCs w:val="24"/>
          <w:lang w:eastAsia="en-AU"/>
        </w:rPr>
        <w:t xml:space="preserve">. Herein, we represent the gravimetric energy density </w:t>
      </w:r>
      <w:r w:rsidR="00850AB3" w:rsidRPr="009D4C17">
        <w:rPr>
          <w:rFonts w:eastAsia="Times New Roman" w:cs="Times New Roman"/>
          <w:szCs w:val="24"/>
          <w:lang w:eastAsia="en-AU"/>
        </w:rPr>
        <w:t>during storage and transportation in</w:t>
      </w:r>
      <w:r w:rsidR="004B3705" w:rsidRPr="009D4C17">
        <w:rPr>
          <w:rFonts w:eastAsia="Times New Roman" w:cs="Times New Roman"/>
          <w:szCs w:val="24"/>
          <w:lang w:eastAsia="en-AU"/>
        </w:rPr>
        <w:t xml:space="preserve"> terms of</w:t>
      </w:r>
      <w:r w:rsidR="00850AB3" w:rsidRPr="009D4C17">
        <w:rPr>
          <w:rFonts w:eastAsia="Times New Roman" w:cs="Times New Roman"/>
          <w:szCs w:val="24"/>
          <w:lang w:eastAsia="en-AU"/>
        </w:rPr>
        <w:t xml:space="preserve"> MJ kg</w:t>
      </w:r>
      <w:r w:rsidR="00850AB3" w:rsidRPr="009D4C17">
        <w:rPr>
          <w:rFonts w:eastAsia="Times New Roman" w:cs="Times New Roman"/>
          <w:szCs w:val="24"/>
          <w:vertAlign w:val="superscript"/>
          <w:lang w:eastAsia="en-AU"/>
        </w:rPr>
        <w:t>-1</w:t>
      </w:r>
      <w:r w:rsidR="00850AB3" w:rsidRPr="009D4C17">
        <w:rPr>
          <w:rFonts w:eastAsia="Times New Roman" w:cs="Times New Roman"/>
          <w:szCs w:val="24"/>
          <w:lang w:eastAsia="en-AU"/>
        </w:rPr>
        <w:t xml:space="preserve">. </w:t>
      </w:r>
      <w:r w:rsidR="00B5020B" w:rsidRPr="009D4C17">
        <w:rPr>
          <w:rFonts w:eastAsia="Times New Roman" w:cs="Times New Roman"/>
          <w:szCs w:val="24"/>
          <w:lang w:eastAsia="en-AU"/>
        </w:rPr>
        <w:t xml:space="preserve">This metric was also used to compare the ease of energy storage, with a greater volumetric energy density indicating that less </w:t>
      </w:r>
      <w:r w:rsidR="00635B09" w:rsidRPr="009D4C17">
        <w:rPr>
          <w:rFonts w:eastAsia="Times New Roman" w:cs="Times New Roman"/>
          <w:szCs w:val="24"/>
          <w:lang w:eastAsia="en-AU"/>
        </w:rPr>
        <w:t>mass</w:t>
      </w:r>
      <w:r w:rsidR="00B5020B" w:rsidRPr="009D4C17">
        <w:rPr>
          <w:rFonts w:eastAsia="Times New Roman" w:cs="Times New Roman"/>
          <w:szCs w:val="24"/>
          <w:lang w:eastAsia="en-AU"/>
        </w:rPr>
        <w:t xml:space="preserve"> is required per MJ of energy delivered. This way a carrier with a higher </w:t>
      </w:r>
      <w:r w:rsidR="007B31D6" w:rsidRPr="009D4C17">
        <w:rPr>
          <w:rFonts w:eastAsia="Times New Roman" w:cs="Times New Roman"/>
          <w:szCs w:val="24"/>
          <w:lang w:eastAsia="en-AU"/>
        </w:rPr>
        <w:t xml:space="preserve">gravimetric density </w:t>
      </w:r>
      <w:r w:rsidR="00B5020B" w:rsidRPr="009D4C17">
        <w:rPr>
          <w:rFonts w:eastAsia="Times New Roman" w:cs="Times New Roman"/>
          <w:szCs w:val="24"/>
          <w:lang w:eastAsia="en-AU"/>
        </w:rPr>
        <w:t xml:space="preserve">contains more energy per equivalent </w:t>
      </w:r>
      <w:r w:rsidR="007B31D6" w:rsidRPr="009D4C17">
        <w:rPr>
          <w:rFonts w:eastAsia="Times New Roman" w:cs="Times New Roman"/>
          <w:szCs w:val="24"/>
          <w:lang w:eastAsia="en-AU"/>
        </w:rPr>
        <w:t>mass</w:t>
      </w:r>
      <w:r w:rsidR="00B5020B" w:rsidRPr="009D4C17">
        <w:rPr>
          <w:rFonts w:eastAsia="Times New Roman" w:cs="Times New Roman"/>
          <w:szCs w:val="24"/>
          <w:lang w:eastAsia="en-AU"/>
        </w:rPr>
        <w:t xml:space="preserve"> compared to a carrier with low </w:t>
      </w:r>
      <w:r w:rsidR="007B31D6" w:rsidRPr="009D4C17">
        <w:rPr>
          <w:rFonts w:eastAsia="Times New Roman" w:cs="Times New Roman"/>
          <w:szCs w:val="24"/>
          <w:lang w:eastAsia="en-AU"/>
        </w:rPr>
        <w:t>gravimetric</w:t>
      </w:r>
      <w:r w:rsidR="00B5020B" w:rsidRPr="009D4C17">
        <w:rPr>
          <w:rFonts w:eastAsia="Times New Roman" w:cs="Times New Roman"/>
          <w:szCs w:val="24"/>
          <w:lang w:eastAsia="en-AU"/>
        </w:rPr>
        <w:t xml:space="preserve"> densit</w:t>
      </w:r>
      <w:r w:rsidR="007B31D6" w:rsidRPr="009D4C17">
        <w:rPr>
          <w:rFonts w:eastAsia="Times New Roman" w:cs="Times New Roman"/>
          <w:szCs w:val="24"/>
          <w:lang w:eastAsia="en-AU"/>
        </w:rPr>
        <w:t>y</w:t>
      </w:r>
      <w:r w:rsidR="00850AB3" w:rsidRPr="009D4C17">
        <w:rPr>
          <w:rFonts w:eastAsia="Times New Roman" w:cs="Times New Roman"/>
          <w:szCs w:val="24"/>
          <w:lang w:eastAsia="en-AU"/>
        </w:rPr>
        <w:t xml:space="preserve">. </w:t>
      </w:r>
      <w:r w:rsidR="00682A86" w:rsidRPr="009D4C17">
        <w:rPr>
          <w:rFonts w:eastAsia="Times New Roman" w:cs="Times New Roman"/>
          <w:szCs w:val="24"/>
          <w:lang w:eastAsia="en-AU"/>
        </w:rPr>
        <w:t>Higher gravimetric density</w:t>
      </w:r>
      <w:r w:rsidR="00682231" w:rsidRPr="009D4C17">
        <w:rPr>
          <w:rFonts w:eastAsia="Times New Roman" w:cs="Times New Roman"/>
          <w:szCs w:val="24"/>
          <w:lang w:eastAsia="en-AU"/>
        </w:rPr>
        <w:t xml:space="preserve"> means</w:t>
      </w:r>
      <w:r w:rsidR="00850AB3" w:rsidRPr="009D4C17">
        <w:rPr>
          <w:rFonts w:eastAsia="Times New Roman" w:cs="Times New Roman"/>
          <w:szCs w:val="24"/>
          <w:lang w:eastAsia="en-AU"/>
        </w:rPr>
        <w:t xml:space="preserve"> more energy can be stored and transported at the </w:t>
      </w:r>
      <w:r w:rsidR="00850AB3" w:rsidRPr="009D4C17">
        <w:rPr>
          <w:rFonts w:eastAsia="Times New Roman" w:cs="Times New Roman"/>
          <w:szCs w:val="24"/>
          <w:lang w:eastAsia="en-AU"/>
        </w:rPr>
        <w:lastRenderedPageBreak/>
        <w:t xml:space="preserve">same mass, reducing the associated costs. Liquefied hydrogen and methane exhibit the highest gravimetric </w:t>
      </w:r>
      <w:r w:rsidR="00850AB3" w:rsidRPr="00850AB3">
        <w:rPr>
          <w:rFonts w:eastAsia="Times New Roman" w:cs="Times New Roman"/>
          <w:color w:val="auto"/>
          <w:szCs w:val="24"/>
          <w:lang w:eastAsia="en-AU"/>
        </w:rPr>
        <w:t xml:space="preserve">densities following the liquefaction process. This was followed by LOHCs, with methanol and ammonia having similarly low gravimetric density. </w:t>
      </w:r>
    </w:p>
    <w:p w14:paraId="35BB13FB" w14:textId="5CF666DB" w:rsidR="00850AB3" w:rsidRDefault="00B77C53" w:rsidP="00850AB3">
      <w:pPr>
        <w:spacing w:before="240"/>
        <w:rPr>
          <w:b/>
          <w:bCs/>
          <w:sz w:val="28"/>
          <w:szCs w:val="28"/>
          <w:lang w:eastAsia="en-AU"/>
        </w:rPr>
      </w:pPr>
      <w:r>
        <w:rPr>
          <w:b/>
          <w:bCs/>
          <w:sz w:val="28"/>
          <w:szCs w:val="28"/>
          <w:lang w:eastAsia="en-AU"/>
        </w:rPr>
        <w:t>C</w:t>
      </w:r>
      <w:r w:rsidR="00850AB3" w:rsidRPr="00706CC9">
        <w:rPr>
          <w:b/>
          <w:bCs/>
          <w:sz w:val="28"/>
          <w:szCs w:val="28"/>
          <w:lang w:eastAsia="en-AU"/>
        </w:rPr>
        <w:t>.4. Transportation</w:t>
      </w:r>
      <w:r w:rsidR="00850AB3">
        <w:rPr>
          <w:b/>
          <w:bCs/>
          <w:sz w:val="28"/>
          <w:szCs w:val="28"/>
          <w:lang w:eastAsia="en-AU"/>
        </w:rPr>
        <w:t xml:space="preserve"> Metrics</w:t>
      </w:r>
    </w:p>
    <w:p w14:paraId="64FA5EC5" w14:textId="77777777" w:rsidR="00850AB3" w:rsidRPr="009B3AD3" w:rsidRDefault="00850AB3" w:rsidP="00850AB3">
      <w:pPr>
        <w:rPr>
          <w:color w:val="auto"/>
          <w:u w:val="single"/>
          <w:lang w:eastAsia="en-AU"/>
        </w:rPr>
      </w:pPr>
      <w:r w:rsidRPr="009B3AD3">
        <w:rPr>
          <w:color w:val="auto"/>
          <w:u w:val="single"/>
          <w:lang w:eastAsia="en-AU"/>
        </w:rPr>
        <w:t>Transportation Cost</w:t>
      </w:r>
    </w:p>
    <w:p w14:paraId="74129C8E" w14:textId="63D94761" w:rsidR="00850AB3" w:rsidRPr="009D4C17" w:rsidRDefault="00684A1C" w:rsidP="00850AB3">
      <w:pPr>
        <w:jc w:val="both"/>
        <w:rPr>
          <w:lang w:eastAsia="en-AU"/>
        </w:rPr>
      </w:pPr>
      <w:r w:rsidRPr="009D4C17">
        <w:rPr>
          <w:lang w:eastAsia="en-AU"/>
        </w:rPr>
        <w:t xml:space="preserve">Herein we use the shipping cost </w:t>
      </w:r>
      <w:r w:rsidR="0057650B" w:rsidRPr="009D4C17">
        <w:rPr>
          <w:lang w:eastAsia="en-AU"/>
        </w:rPr>
        <w:t xml:space="preserve">from port in Australia to destination </w:t>
      </w:r>
      <w:r w:rsidR="001E0BC3" w:rsidRPr="009D4C17">
        <w:rPr>
          <w:lang w:eastAsia="en-AU"/>
        </w:rPr>
        <w:t>port in Europe (</w:t>
      </w:r>
      <w:r w:rsidR="001E0BC3" w:rsidRPr="009D4C17">
        <w:rPr>
          <w:b/>
          <w:lang w:eastAsia="en-AU"/>
        </w:rPr>
        <w:t>Table 15</w:t>
      </w:r>
      <w:r w:rsidR="001E0BC3" w:rsidRPr="009D4C17">
        <w:rPr>
          <w:lang w:eastAsia="en-AU"/>
        </w:rPr>
        <w:t xml:space="preserve">), </w:t>
      </w:r>
      <w:r w:rsidRPr="009D4C17">
        <w:rPr>
          <w:lang w:eastAsia="en-AU"/>
        </w:rPr>
        <w:t>as the</w:t>
      </w:r>
      <w:r w:rsidR="00A572F4" w:rsidRPr="009D4C17">
        <w:rPr>
          <w:lang w:eastAsia="en-AU"/>
        </w:rPr>
        <w:t xml:space="preserve"> metric for </w:t>
      </w:r>
      <w:r w:rsidR="001E0BC3" w:rsidRPr="009D4C17">
        <w:rPr>
          <w:lang w:eastAsia="en-AU"/>
        </w:rPr>
        <w:t>comparing the transportation costs of each carrier</w:t>
      </w:r>
      <w:r w:rsidR="00A572F4" w:rsidRPr="009D4C17">
        <w:rPr>
          <w:lang w:eastAsia="en-AU"/>
        </w:rPr>
        <w:t xml:space="preserve">. </w:t>
      </w:r>
      <w:r w:rsidR="00CC447D" w:rsidRPr="009D4C17">
        <w:rPr>
          <w:lang w:eastAsia="en-AU"/>
        </w:rPr>
        <w:t>These transportation costs</w:t>
      </w:r>
      <w:r w:rsidR="00FB66FA" w:rsidRPr="009D4C17">
        <w:rPr>
          <w:lang w:eastAsia="en-AU"/>
        </w:rPr>
        <w:t xml:space="preserve"> are then based on </w:t>
      </w:r>
      <w:r w:rsidR="002C2EE8" w:rsidRPr="009D4C17">
        <w:rPr>
          <w:lang w:eastAsia="en-AU"/>
        </w:rPr>
        <w:t xml:space="preserve">the Capital Cost (CAPEX) which represents the cost of ship/hiring </w:t>
      </w:r>
      <w:r w:rsidR="00AC6A0F" w:rsidRPr="009D4C17">
        <w:rPr>
          <w:lang w:eastAsia="en-AU"/>
        </w:rPr>
        <w:t>the ship for intercont</w:t>
      </w:r>
      <w:r w:rsidR="00FC33BD" w:rsidRPr="009D4C17">
        <w:rPr>
          <w:lang w:eastAsia="en-AU"/>
        </w:rPr>
        <w:t>inental shipping</w:t>
      </w:r>
      <w:r w:rsidR="002C2EE8" w:rsidRPr="009D4C17">
        <w:rPr>
          <w:lang w:eastAsia="en-AU"/>
        </w:rPr>
        <w:t xml:space="preserve"> and </w:t>
      </w:r>
      <w:r w:rsidR="00BE4F41" w:rsidRPr="009D4C17">
        <w:rPr>
          <w:lang w:eastAsia="en-AU"/>
        </w:rPr>
        <w:t xml:space="preserve">the Operating Costs </w:t>
      </w:r>
      <w:r w:rsidR="002A4078" w:rsidRPr="009D4C17">
        <w:rPr>
          <w:lang w:eastAsia="en-AU"/>
        </w:rPr>
        <w:t>(OPEX) which incorporate</w:t>
      </w:r>
      <w:r w:rsidR="00C57E48" w:rsidRPr="009D4C17">
        <w:rPr>
          <w:lang w:eastAsia="en-AU"/>
        </w:rPr>
        <w:t xml:space="preserve"> </w:t>
      </w:r>
      <w:r w:rsidR="00850AB3" w:rsidRPr="009D4C17">
        <w:rPr>
          <w:lang w:eastAsia="en-AU"/>
        </w:rPr>
        <w:t>requirements to maintain storage conditions (such as liquification), for employee renumerations, for transport energy costs as well as other operation and maintenance costs.</w:t>
      </w:r>
      <w:r w:rsidR="00CC447D" w:rsidRPr="009D4C17">
        <w:rPr>
          <w:lang w:eastAsia="en-AU"/>
        </w:rPr>
        <w:t xml:space="preserve"> The source</w:t>
      </w:r>
      <w:r w:rsidR="00850AB3" w:rsidRPr="009D4C17">
        <w:rPr>
          <w:lang w:eastAsia="en-AU"/>
        </w:rPr>
        <w:t xml:space="preserve"> </w:t>
      </w:r>
      <w:r w:rsidR="00CC447D" w:rsidRPr="009D4C17">
        <w:rPr>
          <w:lang w:eastAsia="en-AU"/>
        </w:rPr>
        <w:t>v</w:t>
      </w:r>
      <w:r w:rsidR="00850AB3" w:rsidRPr="009D4C17">
        <w:rPr>
          <w:lang w:eastAsia="en-AU"/>
        </w:rPr>
        <w:t>alues</w:t>
      </w:r>
      <w:r w:rsidR="00CC447D" w:rsidRPr="009D4C17">
        <w:rPr>
          <w:lang w:eastAsia="en-AU"/>
        </w:rPr>
        <w:t xml:space="preserve"> for these costs were adopted from</w:t>
      </w:r>
      <w:r w:rsidR="00850AB3" w:rsidRPr="009D4C17">
        <w:rPr>
          <w:lang w:eastAsia="en-AU"/>
        </w:rPr>
        <w:t xml:space="preserve"> models within peer-reviewed published literature and commercial feasibility studies. </w:t>
      </w:r>
      <w:r w:rsidR="00CC447D" w:rsidRPr="009D4C17">
        <w:rPr>
          <w:lang w:eastAsia="en-AU"/>
        </w:rPr>
        <w:t xml:space="preserve">The capital and operating costs </w:t>
      </w:r>
      <w:r w:rsidR="00716E83" w:rsidRPr="009D4C17">
        <w:rPr>
          <w:lang w:eastAsia="en-AU"/>
        </w:rPr>
        <w:t xml:space="preserve">(A$) </w:t>
      </w:r>
      <w:r w:rsidR="00CC447D" w:rsidRPr="009D4C17">
        <w:rPr>
          <w:lang w:eastAsia="en-AU"/>
        </w:rPr>
        <w:t xml:space="preserve">were then levelized over the amount of </w:t>
      </w:r>
      <w:r w:rsidR="00716E83" w:rsidRPr="009D4C17">
        <w:rPr>
          <w:lang w:eastAsia="en-AU"/>
        </w:rPr>
        <w:t xml:space="preserve">carrier (kg) transported. </w:t>
      </w:r>
    </w:p>
    <w:p w14:paraId="090CF07F" w14:textId="3559088D" w:rsidR="00850AB3" w:rsidRPr="009B3AD3" w:rsidRDefault="00716E83" w:rsidP="00850AB3">
      <w:pPr>
        <w:jc w:val="both"/>
        <w:rPr>
          <w:color w:val="auto"/>
          <w:lang w:eastAsia="en-AU"/>
        </w:rPr>
      </w:pPr>
      <w:r w:rsidRPr="009D4C17">
        <w:rPr>
          <w:lang w:eastAsia="en-AU"/>
        </w:rPr>
        <w:t xml:space="preserve">Overall, </w:t>
      </w:r>
      <w:r w:rsidR="00850AB3" w:rsidRPr="009D4C17">
        <w:rPr>
          <w:lang w:eastAsia="en-AU"/>
        </w:rPr>
        <w:t>Ammonia incurs the lowest transportation costs as it does not require energy inputs for the maintenance of liquified conditions and has established transportation networks over</w:t>
      </w:r>
      <w:r w:rsidR="006D6BAA">
        <w:rPr>
          <w:lang w:eastAsia="en-AU"/>
        </w:rPr>
        <w:t xml:space="preserve"> </w:t>
      </w:r>
      <w:r w:rsidR="00850AB3" w:rsidRPr="009D4C17">
        <w:rPr>
          <w:lang w:eastAsia="en-AU"/>
        </w:rPr>
        <w:t xml:space="preserve">time which has facilitated efficiency improvements and consequently cost reductions. Methanol and other LOHCs have less developed transportation infrastructure at smaller scale resulting in higher transportation costs. The energy requirement for maintenance of liquified conditions for methane </w:t>
      </w:r>
      <w:r w:rsidR="00850AB3" w:rsidRPr="009B3AD3">
        <w:rPr>
          <w:color w:val="auto"/>
          <w:lang w:eastAsia="en-AU"/>
        </w:rPr>
        <w:t xml:space="preserve">and liquefied hydrogen result in relatively higher transportation costs. </w:t>
      </w:r>
    </w:p>
    <w:p w14:paraId="5072E3D2" w14:textId="77777777" w:rsidR="00850AB3" w:rsidRPr="00603099" w:rsidRDefault="00850AB3" w:rsidP="00850AB3">
      <w:pPr>
        <w:rPr>
          <w:rFonts w:asciiTheme="minorHAnsi" w:hAnsiTheme="minorHAnsi"/>
          <w:u w:val="single"/>
          <w:lang w:eastAsia="en-AU"/>
        </w:rPr>
      </w:pPr>
      <w:r w:rsidRPr="00603099">
        <w:rPr>
          <w:u w:val="single"/>
          <w:lang w:eastAsia="en-AU"/>
        </w:rPr>
        <w:t>Carrier Yield Loss During Transportation</w:t>
      </w:r>
    </w:p>
    <w:p w14:paraId="112DA327" w14:textId="4B9B6961" w:rsidR="007C38AF" w:rsidRDefault="00850AB3" w:rsidP="00716E83">
      <w:pPr>
        <w:jc w:val="both"/>
        <w:rPr>
          <w:rFonts w:eastAsia="Times New Roman" w:cs="Times New Roman"/>
          <w:szCs w:val="24"/>
          <w:lang w:eastAsia="en-AU"/>
        </w:rPr>
      </w:pPr>
      <w:r w:rsidRPr="00F81774">
        <w:rPr>
          <w:rFonts w:eastAsia="Times New Roman" w:cs="Times New Roman"/>
          <w:szCs w:val="24"/>
          <w:lang w:eastAsia="en-AU"/>
        </w:rPr>
        <w:t xml:space="preserve">During transportation, energy losses occur in the form of </w:t>
      </w:r>
      <w:r w:rsidR="00512D85">
        <w:rPr>
          <w:rFonts w:eastAsia="Times New Roman" w:cs="Times New Roman"/>
          <w:szCs w:val="24"/>
          <w:lang w:eastAsia="en-AU"/>
        </w:rPr>
        <w:t xml:space="preserve">gas </w:t>
      </w:r>
      <w:r w:rsidRPr="00F81774">
        <w:rPr>
          <w:rFonts w:eastAsia="Times New Roman" w:cs="Times New Roman"/>
          <w:szCs w:val="24"/>
          <w:lang w:eastAsia="en-AU"/>
        </w:rPr>
        <w:t>boil off and leaks</w:t>
      </w:r>
      <w:r w:rsidR="00512D85">
        <w:rPr>
          <w:rFonts w:eastAsia="Times New Roman" w:cs="Times New Roman"/>
          <w:szCs w:val="24"/>
          <w:lang w:eastAsia="en-AU"/>
        </w:rPr>
        <w:t>,</w:t>
      </w:r>
      <w:r w:rsidRPr="00F81774">
        <w:rPr>
          <w:rFonts w:eastAsia="Times New Roman" w:cs="Times New Roman"/>
          <w:szCs w:val="24"/>
          <w:lang w:eastAsia="en-AU"/>
        </w:rPr>
        <w:t xml:space="preserve"> which </w:t>
      </w:r>
      <w:r w:rsidR="00E410CD" w:rsidRPr="00F81774">
        <w:rPr>
          <w:rFonts w:eastAsia="Times New Roman" w:cs="Times New Roman"/>
          <w:szCs w:val="24"/>
          <w:lang w:eastAsia="en-AU"/>
        </w:rPr>
        <w:t>reduce</w:t>
      </w:r>
      <w:r w:rsidR="00512D85">
        <w:rPr>
          <w:rFonts w:eastAsia="Times New Roman" w:cs="Times New Roman"/>
          <w:szCs w:val="24"/>
          <w:lang w:eastAsia="en-AU"/>
        </w:rPr>
        <w:t>s</w:t>
      </w:r>
      <w:r w:rsidRPr="00F81774">
        <w:rPr>
          <w:rFonts w:eastAsia="Times New Roman" w:cs="Times New Roman"/>
          <w:szCs w:val="24"/>
          <w:lang w:eastAsia="en-AU"/>
        </w:rPr>
        <w:t xml:space="preserve"> the yield for the importing nation. </w:t>
      </w:r>
      <w:r w:rsidR="00E410CD" w:rsidRPr="00F81774">
        <w:rPr>
          <w:rFonts w:eastAsia="Times New Roman" w:cs="Times New Roman"/>
          <w:szCs w:val="24"/>
          <w:lang w:eastAsia="en-AU"/>
        </w:rPr>
        <w:t>Th</w:t>
      </w:r>
      <w:r w:rsidR="00A40D6D">
        <w:rPr>
          <w:rFonts w:eastAsia="Times New Roman" w:cs="Times New Roman"/>
          <w:szCs w:val="24"/>
          <w:lang w:eastAsia="en-AU"/>
        </w:rPr>
        <w:t xml:space="preserve">is is a key </w:t>
      </w:r>
      <w:r w:rsidR="00CD563C">
        <w:rPr>
          <w:rFonts w:eastAsia="Times New Roman" w:cs="Times New Roman"/>
          <w:szCs w:val="24"/>
          <w:lang w:eastAsia="en-AU"/>
        </w:rPr>
        <w:t>metric</w:t>
      </w:r>
      <w:r w:rsidR="00A40D6D">
        <w:rPr>
          <w:rFonts w:eastAsia="Times New Roman" w:cs="Times New Roman"/>
          <w:szCs w:val="24"/>
          <w:lang w:eastAsia="en-AU"/>
        </w:rPr>
        <w:t xml:space="preserve"> for determining the energy </w:t>
      </w:r>
      <w:r w:rsidR="00CD563C">
        <w:rPr>
          <w:rFonts w:eastAsia="Times New Roman" w:cs="Times New Roman"/>
          <w:szCs w:val="24"/>
          <w:lang w:eastAsia="en-AU"/>
        </w:rPr>
        <w:t xml:space="preserve">export </w:t>
      </w:r>
      <w:r w:rsidR="00A40D6D">
        <w:rPr>
          <w:rFonts w:eastAsia="Times New Roman" w:cs="Times New Roman"/>
          <w:szCs w:val="24"/>
          <w:lang w:eastAsia="en-AU"/>
        </w:rPr>
        <w:t>efficiency of the export value chain.</w:t>
      </w:r>
      <w:r w:rsidR="00E410CD" w:rsidRPr="00F81774">
        <w:rPr>
          <w:rFonts w:eastAsia="Times New Roman" w:cs="Times New Roman"/>
          <w:szCs w:val="24"/>
          <w:lang w:eastAsia="en-AU"/>
        </w:rPr>
        <w:t xml:space="preserve"> </w:t>
      </w:r>
      <w:r w:rsidR="004F7DB7">
        <w:rPr>
          <w:rFonts w:eastAsia="Times New Roman" w:cs="Times New Roman"/>
          <w:szCs w:val="24"/>
          <w:lang w:eastAsia="en-AU"/>
        </w:rPr>
        <w:t>i.e.,</w:t>
      </w:r>
      <w:r w:rsidR="00AE323B">
        <w:rPr>
          <w:rFonts w:eastAsia="Times New Roman" w:cs="Times New Roman"/>
          <w:szCs w:val="24"/>
          <w:lang w:eastAsia="en-AU"/>
        </w:rPr>
        <w:t xml:space="preserve"> </w:t>
      </w:r>
      <w:r w:rsidR="001A5673">
        <w:rPr>
          <w:rFonts w:eastAsia="Times New Roman" w:cs="Times New Roman"/>
          <w:szCs w:val="24"/>
          <w:lang w:eastAsia="en-AU"/>
        </w:rPr>
        <w:t>If there is a high carrier yield loss, this results i</w:t>
      </w:r>
      <w:r w:rsidR="00D515E8">
        <w:rPr>
          <w:rFonts w:eastAsia="Times New Roman" w:cs="Times New Roman"/>
          <w:szCs w:val="24"/>
          <w:lang w:eastAsia="en-AU"/>
        </w:rPr>
        <w:t>n an additional energy export loss beyond conversion of renewable energy into hydrogen/ hydrogen derivatives</w:t>
      </w:r>
      <w:r w:rsidR="00CD563C">
        <w:rPr>
          <w:rFonts w:eastAsia="Times New Roman" w:cs="Times New Roman"/>
          <w:szCs w:val="24"/>
          <w:lang w:eastAsia="en-AU"/>
        </w:rPr>
        <w:t xml:space="preserve">, which may be </w:t>
      </w:r>
      <w:r w:rsidR="005D68B5">
        <w:rPr>
          <w:rFonts w:eastAsia="Times New Roman" w:cs="Times New Roman"/>
          <w:szCs w:val="24"/>
          <w:lang w:eastAsia="en-AU"/>
        </w:rPr>
        <w:t xml:space="preserve">a key consideration for German </w:t>
      </w:r>
      <w:r w:rsidR="002A21C6">
        <w:rPr>
          <w:rFonts w:eastAsia="Times New Roman" w:cs="Times New Roman"/>
          <w:szCs w:val="24"/>
          <w:lang w:eastAsia="en-AU"/>
        </w:rPr>
        <w:t>stakeholders, looking to utilise hydrogen/ hydrogen derivatives as purely an energy carrier</w:t>
      </w:r>
      <w:r w:rsidR="004F7DB7">
        <w:rPr>
          <w:rFonts w:eastAsia="Times New Roman" w:cs="Times New Roman"/>
          <w:szCs w:val="24"/>
          <w:lang w:eastAsia="en-AU"/>
        </w:rPr>
        <w:t>.</w:t>
      </w:r>
      <w:r w:rsidRPr="00F81774">
        <w:rPr>
          <w:rFonts w:eastAsia="Times New Roman" w:cs="Times New Roman"/>
          <w:szCs w:val="24"/>
          <w:lang w:eastAsia="en-AU"/>
        </w:rPr>
        <w:t xml:space="preserve"> </w:t>
      </w:r>
    </w:p>
    <w:p w14:paraId="629AC528" w14:textId="2509F5B9" w:rsidR="00850AB3" w:rsidRPr="00F81774" w:rsidRDefault="00855561" w:rsidP="00716E83">
      <w:pPr>
        <w:jc w:val="both"/>
        <w:rPr>
          <w:rFonts w:eastAsia="Times New Roman" w:cs="Times New Roman"/>
          <w:szCs w:val="24"/>
          <w:lang w:eastAsia="en-AU"/>
        </w:rPr>
      </w:pPr>
      <w:r>
        <w:rPr>
          <w:rFonts w:eastAsia="Times New Roman" w:cs="Times New Roman"/>
          <w:szCs w:val="24"/>
          <w:lang w:eastAsia="en-AU"/>
        </w:rPr>
        <w:t xml:space="preserve">Overall, </w:t>
      </w:r>
      <w:r w:rsidR="00850AB3" w:rsidRPr="00F81774">
        <w:rPr>
          <w:rFonts w:eastAsia="Times New Roman" w:cs="Times New Roman"/>
          <w:szCs w:val="24"/>
          <w:lang w:eastAsia="en-AU"/>
        </w:rPr>
        <w:t>Ammonia, methanol and LOHCs both have low yield losses</w:t>
      </w:r>
      <w:r w:rsidR="00850AB3">
        <w:rPr>
          <w:rFonts w:eastAsia="Times New Roman" w:cs="Times New Roman"/>
          <w:szCs w:val="24"/>
          <w:lang w:eastAsia="en-AU"/>
        </w:rPr>
        <w:t xml:space="preserve"> per day</w:t>
      </w:r>
      <w:r w:rsidR="00850AB3" w:rsidRPr="00F81774">
        <w:rPr>
          <w:rFonts w:eastAsia="Times New Roman" w:cs="Times New Roman"/>
          <w:szCs w:val="24"/>
          <w:lang w:eastAsia="en-AU"/>
        </w:rPr>
        <w:t xml:space="preserve"> owing to their higher boiling point, making </w:t>
      </w:r>
      <w:r w:rsidR="00716E83" w:rsidRPr="00F81774">
        <w:rPr>
          <w:rFonts w:eastAsia="Times New Roman" w:cs="Times New Roman"/>
          <w:szCs w:val="24"/>
          <w:lang w:eastAsia="en-AU"/>
        </w:rPr>
        <w:t>transport,</w:t>
      </w:r>
      <w:r w:rsidR="00850AB3" w:rsidRPr="00F81774">
        <w:rPr>
          <w:rFonts w:eastAsia="Times New Roman" w:cs="Times New Roman"/>
          <w:szCs w:val="24"/>
          <w:lang w:eastAsia="en-AU"/>
        </w:rPr>
        <w:t xml:space="preserve"> and handling easier as boil off is less likely to occur. Contrastingly, the liquefaction of methane for transport requires constant energy input to prevent regassification over the length of a voyage, making the yield loss higher. </w:t>
      </w:r>
      <w:r w:rsidR="00E144D6" w:rsidRPr="009D4C17">
        <w:rPr>
          <w:rFonts w:eastAsia="Times New Roman" w:cs="Times New Roman"/>
          <w:szCs w:val="24"/>
          <w:lang w:eastAsia="en-AU"/>
        </w:rPr>
        <w:t xml:space="preserve">Furthermore, </w:t>
      </w:r>
      <w:r w:rsidR="009A00F7" w:rsidRPr="009D4C17">
        <w:rPr>
          <w:rFonts w:eastAsia="Times New Roman" w:cs="Times New Roman"/>
          <w:szCs w:val="24"/>
          <w:lang w:eastAsia="en-AU"/>
        </w:rPr>
        <w:t xml:space="preserve">it is important </w:t>
      </w:r>
      <w:r w:rsidR="00EE5C33" w:rsidRPr="009D4C17">
        <w:rPr>
          <w:rFonts w:eastAsia="Times New Roman" w:cs="Times New Roman"/>
          <w:szCs w:val="24"/>
          <w:lang w:eastAsia="en-AU"/>
        </w:rPr>
        <w:t xml:space="preserve">to note that any </w:t>
      </w:r>
      <w:r w:rsidR="00E144D6" w:rsidRPr="009D4C17">
        <w:rPr>
          <w:rFonts w:eastAsia="Times New Roman" w:cs="Times New Roman"/>
          <w:szCs w:val="24"/>
          <w:lang w:eastAsia="en-AU"/>
        </w:rPr>
        <w:t xml:space="preserve">methane leaks </w:t>
      </w:r>
      <w:r w:rsidR="00AE087B" w:rsidRPr="009D4C17">
        <w:rPr>
          <w:rFonts w:eastAsia="Times New Roman" w:cs="Times New Roman"/>
          <w:szCs w:val="24"/>
          <w:lang w:eastAsia="en-AU"/>
        </w:rPr>
        <w:t>are</w:t>
      </w:r>
      <w:r w:rsidR="008B356B" w:rsidRPr="009D4C17">
        <w:rPr>
          <w:rFonts w:eastAsia="Times New Roman" w:cs="Times New Roman"/>
          <w:szCs w:val="24"/>
          <w:lang w:eastAsia="en-AU"/>
        </w:rPr>
        <w:t xml:space="preserve"> an environmental concern due to the </w:t>
      </w:r>
      <w:r w:rsidR="00E144D6" w:rsidRPr="009D4C17">
        <w:rPr>
          <w:rFonts w:eastAsia="Times New Roman" w:cs="Times New Roman"/>
          <w:szCs w:val="24"/>
          <w:lang w:eastAsia="en-AU"/>
        </w:rPr>
        <w:t>high greenhouse warming potential</w:t>
      </w:r>
      <w:r w:rsidR="00994F28" w:rsidRPr="009D4C17">
        <w:rPr>
          <w:rFonts w:eastAsia="Times New Roman" w:cs="Times New Roman"/>
          <w:szCs w:val="24"/>
          <w:lang w:eastAsia="en-AU"/>
        </w:rPr>
        <w:t xml:space="preserve"> of methane</w:t>
      </w:r>
      <w:r w:rsidR="00E144D6" w:rsidRPr="00F81774">
        <w:rPr>
          <w:rFonts w:eastAsia="Times New Roman" w:cs="Times New Roman"/>
          <w:szCs w:val="24"/>
          <w:lang w:eastAsia="en-AU"/>
        </w:rPr>
        <w:t xml:space="preserve">. </w:t>
      </w:r>
      <w:r w:rsidR="00850AB3" w:rsidRPr="00F81774">
        <w:rPr>
          <w:rFonts w:eastAsia="Times New Roman" w:cs="Times New Roman"/>
          <w:szCs w:val="24"/>
          <w:lang w:eastAsia="en-AU"/>
        </w:rPr>
        <w:t xml:space="preserve">Finally, liquefied hydrogen incurs the largest yield loss owing to the much lower cryogenic conditions for liquefaction and subsequent energy requirement during transit. </w:t>
      </w:r>
    </w:p>
    <w:p w14:paraId="668A6F83" w14:textId="1EC64EEB" w:rsidR="00850AB3" w:rsidRDefault="00B77C53" w:rsidP="00850AB3">
      <w:pPr>
        <w:spacing w:before="240"/>
        <w:rPr>
          <w:b/>
          <w:bCs/>
          <w:sz w:val="28"/>
          <w:szCs w:val="28"/>
          <w:lang w:eastAsia="en-AU"/>
        </w:rPr>
      </w:pPr>
      <w:r>
        <w:rPr>
          <w:b/>
          <w:bCs/>
          <w:sz w:val="28"/>
          <w:szCs w:val="28"/>
          <w:lang w:eastAsia="en-AU"/>
        </w:rPr>
        <w:t>C</w:t>
      </w:r>
      <w:r w:rsidR="00850AB3" w:rsidRPr="00706CC9">
        <w:rPr>
          <w:b/>
          <w:bCs/>
          <w:sz w:val="28"/>
          <w:szCs w:val="28"/>
          <w:lang w:eastAsia="en-AU"/>
        </w:rPr>
        <w:t>.</w:t>
      </w:r>
      <w:r w:rsidR="00850AB3">
        <w:rPr>
          <w:b/>
          <w:bCs/>
          <w:sz w:val="28"/>
          <w:szCs w:val="28"/>
          <w:lang w:eastAsia="en-AU"/>
        </w:rPr>
        <w:t>5</w:t>
      </w:r>
      <w:r w:rsidR="00850AB3" w:rsidRPr="00706CC9">
        <w:rPr>
          <w:b/>
          <w:bCs/>
          <w:sz w:val="28"/>
          <w:szCs w:val="28"/>
          <w:lang w:eastAsia="en-AU"/>
        </w:rPr>
        <w:t xml:space="preserve">. </w:t>
      </w:r>
      <w:r w:rsidR="00850AB3">
        <w:rPr>
          <w:b/>
          <w:bCs/>
          <w:sz w:val="28"/>
          <w:szCs w:val="28"/>
          <w:lang w:eastAsia="en-AU"/>
        </w:rPr>
        <w:t>Decarbonisation Metrics</w:t>
      </w:r>
    </w:p>
    <w:p w14:paraId="67E4E894" w14:textId="77777777" w:rsidR="00850AB3" w:rsidRPr="00603099" w:rsidRDefault="00850AB3" w:rsidP="00850AB3">
      <w:pPr>
        <w:rPr>
          <w:u w:val="single"/>
          <w:lang w:eastAsia="en-AU"/>
        </w:rPr>
      </w:pPr>
      <w:r w:rsidRPr="00603099">
        <w:rPr>
          <w:u w:val="single"/>
          <w:lang w:eastAsia="en-AU"/>
        </w:rPr>
        <w:t>Decarbonisation Benefit</w:t>
      </w:r>
    </w:p>
    <w:p w14:paraId="53BB567F" w14:textId="11EC1279" w:rsidR="00850AB3" w:rsidRDefault="00850AB3" w:rsidP="00F67261">
      <w:pPr>
        <w:jc w:val="both"/>
        <w:rPr>
          <w:rFonts w:eastAsia="Times New Roman"/>
          <w:lang w:eastAsia="en-AU"/>
        </w:rPr>
      </w:pPr>
      <w:r w:rsidRPr="00F81774">
        <w:rPr>
          <w:rFonts w:eastAsia="Times New Roman"/>
          <w:lang w:eastAsia="en-AU"/>
        </w:rPr>
        <w:t>The environmental impact was measured using the kg CO</w:t>
      </w:r>
      <w:r w:rsidRPr="00F81774">
        <w:rPr>
          <w:rFonts w:eastAsia="Times New Roman"/>
          <w:vertAlign w:val="subscript"/>
          <w:lang w:eastAsia="en-AU"/>
        </w:rPr>
        <w:t>2</w:t>
      </w:r>
      <w:r w:rsidRPr="00F81774">
        <w:rPr>
          <w:rFonts w:eastAsia="Times New Roman"/>
          <w:lang w:eastAsia="en-AU"/>
        </w:rPr>
        <w:t xml:space="preserve"> equivalent per </w:t>
      </w:r>
      <w:r w:rsidR="00823F0D">
        <w:rPr>
          <w:rFonts w:eastAsia="Times New Roman"/>
          <w:lang w:eastAsia="en-AU"/>
        </w:rPr>
        <w:t>kWh</w:t>
      </w:r>
      <w:r w:rsidRPr="00F81774">
        <w:rPr>
          <w:rFonts w:eastAsia="Times New Roman"/>
          <w:lang w:eastAsia="en-AU"/>
        </w:rPr>
        <w:t xml:space="preserve"> of </w:t>
      </w:r>
      <w:r w:rsidR="00823F0D">
        <w:rPr>
          <w:rFonts w:eastAsia="Times New Roman"/>
          <w:lang w:eastAsia="en-AU"/>
        </w:rPr>
        <w:t>energy produced</w:t>
      </w:r>
      <w:r w:rsidR="00E410CD" w:rsidRPr="00F81774">
        <w:rPr>
          <w:rFonts w:eastAsia="Times New Roman"/>
          <w:lang w:eastAsia="en-AU"/>
        </w:rPr>
        <w:t>.</w:t>
      </w:r>
      <w:r w:rsidRPr="00F81774">
        <w:rPr>
          <w:rFonts w:eastAsia="Times New Roman"/>
          <w:lang w:eastAsia="en-AU"/>
        </w:rPr>
        <w:t xml:space="preserve"> This was evaluated based upon </w:t>
      </w:r>
      <w:r w:rsidR="00823F0D">
        <w:rPr>
          <w:rFonts w:eastAsia="Times New Roman"/>
          <w:lang w:eastAsia="en-AU"/>
        </w:rPr>
        <w:t xml:space="preserve">the emissions </w:t>
      </w:r>
      <w:r w:rsidR="00A662E3">
        <w:rPr>
          <w:rFonts w:eastAsia="Times New Roman"/>
          <w:lang w:eastAsia="en-AU"/>
        </w:rPr>
        <w:t>released from the combustion of the hydrogen carrier</w:t>
      </w:r>
      <w:r w:rsidR="00E410CD" w:rsidRPr="00F81774">
        <w:rPr>
          <w:rFonts w:eastAsia="Times New Roman"/>
          <w:lang w:eastAsia="en-AU"/>
        </w:rPr>
        <w:t>.</w:t>
      </w:r>
      <w:r w:rsidRPr="00F81774">
        <w:rPr>
          <w:rFonts w:eastAsia="Times New Roman"/>
          <w:lang w:eastAsia="en-AU"/>
        </w:rPr>
        <w:t xml:space="preserve"> </w:t>
      </w:r>
      <w:r w:rsidR="00E410CD" w:rsidRPr="00F81774">
        <w:rPr>
          <w:rFonts w:eastAsia="Times New Roman"/>
          <w:lang w:eastAsia="en-AU"/>
        </w:rPr>
        <w:t>Methane</w:t>
      </w:r>
      <w:r w:rsidR="005D03C2">
        <w:rPr>
          <w:rFonts w:eastAsia="Times New Roman"/>
          <w:lang w:eastAsia="en-AU"/>
        </w:rPr>
        <w:t xml:space="preserve"> and methanol </w:t>
      </w:r>
      <w:r w:rsidRPr="00F81774">
        <w:rPr>
          <w:rFonts w:eastAsia="Times New Roman"/>
          <w:lang w:eastAsia="en-AU"/>
        </w:rPr>
        <w:t xml:space="preserve">had the most detrimental environmental impact. </w:t>
      </w:r>
      <w:r w:rsidR="003C37D3">
        <w:rPr>
          <w:rFonts w:eastAsia="Times New Roman"/>
          <w:lang w:eastAsia="en-AU"/>
        </w:rPr>
        <w:t xml:space="preserve">For </w:t>
      </w:r>
      <w:r w:rsidR="00E76EDA">
        <w:rPr>
          <w:rFonts w:eastAsia="Times New Roman"/>
          <w:lang w:eastAsia="en-AU"/>
        </w:rPr>
        <w:t>the purposes of this investigation,</w:t>
      </w:r>
      <w:r w:rsidR="003C37D3">
        <w:rPr>
          <w:rFonts w:eastAsia="Times New Roman"/>
          <w:lang w:eastAsia="en-AU"/>
        </w:rPr>
        <w:t xml:space="preserve"> </w:t>
      </w:r>
      <w:r w:rsidR="009320C4">
        <w:rPr>
          <w:rFonts w:eastAsia="Times New Roman"/>
          <w:lang w:eastAsia="en-AU"/>
        </w:rPr>
        <w:t xml:space="preserve">the emissions </w:t>
      </w:r>
      <w:r w:rsidR="00E372C3">
        <w:rPr>
          <w:rFonts w:eastAsia="Times New Roman"/>
          <w:lang w:eastAsia="en-AU"/>
        </w:rPr>
        <w:t>(</w:t>
      </w:r>
      <w:r w:rsidR="0053166B">
        <w:rPr>
          <w:rFonts w:eastAsia="Times New Roman"/>
          <w:lang w:eastAsia="en-AU"/>
        </w:rPr>
        <w:t>or lack of</w:t>
      </w:r>
      <w:r w:rsidR="00E10197">
        <w:rPr>
          <w:rFonts w:eastAsia="Times New Roman"/>
          <w:lang w:eastAsia="en-AU"/>
        </w:rPr>
        <w:t xml:space="preserve"> emissions</w:t>
      </w:r>
      <w:r w:rsidR="0053166B">
        <w:rPr>
          <w:rFonts w:eastAsia="Times New Roman"/>
          <w:lang w:eastAsia="en-AU"/>
        </w:rPr>
        <w:t>)</w:t>
      </w:r>
      <w:r w:rsidR="009320C4">
        <w:rPr>
          <w:rFonts w:eastAsia="Times New Roman"/>
          <w:lang w:eastAsia="en-AU"/>
        </w:rPr>
        <w:t xml:space="preserve"> from </w:t>
      </w:r>
      <w:r w:rsidR="00E372C3">
        <w:rPr>
          <w:rFonts w:eastAsia="Times New Roman"/>
          <w:lang w:eastAsia="en-AU"/>
        </w:rPr>
        <w:t xml:space="preserve">energy production via </w:t>
      </w:r>
      <w:r w:rsidR="003C37D3">
        <w:rPr>
          <w:rFonts w:eastAsia="Times New Roman"/>
          <w:lang w:eastAsia="en-AU"/>
        </w:rPr>
        <w:t>LOHCs</w:t>
      </w:r>
      <w:r w:rsidR="00D6166E">
        <w:rPr>
          <w:rFonts w:eastAsia="Times New Roman"/>
          <w:lang w:eastAsia="en-AU"/>
        </w:rPr>
        <w:t xml:space="preserve"> </w:t>
      </w:r>
      <w:r w:rsidR="00CD4480">
        <w:rPr>
          <w:rFonts w:eastAsia="Times New Roman"/>
          <w:lang w:eastAsia="en-AU"/>
        </w:rPr>
        <w:t>correspond to the combustion of hydrogen</w:t>
      </w:r>
      <w:r w:rsidR="00E10197">
        <w:rPr>
          <w:rFonts w:eastAsia="Times New Roman"/>
          <w:lang w:eastAsia="en-AU"/>
        </w:rPr>
        <w:t>,</w:t>
      </w:r>
      <w:r w:rsidR="00CD4480">
        <w:rPr>
          <w:rFonts w:eastAsia="Times New Roman"/>
          <w:lang w:eastAsia="en-AU"/>
        </w:rPr>
        <w:t xml:space="preserve"> as LOHCs are a transport medium for hydrogen</w:t>
      </w:r>
      <w:r w:rsidR="00E76EDA">
        <w:rPr>
          <w:rFonts w:eastAsia="Times New Roman"/>
          <w:lang w:eastAsia="en-AU"/>
        </w:rPr>
        <w:t>, as opposed to an energy carrier/fuel.</w:t>
      </w:r>
    </w:p>
    <w:p w14:paraId="76A6B844" w14:textId="77777777" w:rsidR="00E410CD" w:rsidRDefault="00E410CD" w:rsidP="00E410CD">
      <w:pPr>
        <w:spacing w:line="240" w:lineRule="auto"/>
        <w:jc w:val="both"/>
        <w:rPr>
          <w:rFonts w:eastAsia="Times New Roman"/>
          <w:lang w:eastAsia="en-AU"/>
        </w:rPr>
        <w:sectPr w:rsidR="00E410CD" w:rsidSect="007C372A">
          <w:pgSz w:w="11906" w:h="16838" w:code="9"/>
          <w:pgMar w:top="936" w:right="936" w:bottom="1418" w:left="936" w:header="851" w:footer="624" w:gutter="0"/>
          <w:pgNumType w:start="1"/>
          <w:cols w:space="708"/>
          <w:titlePg/>
          <w:docGrid w:linePitch="360"/>
        </w:sectPr>
      </w:pPr>
    </w:p>
    <w:p w14:paraId="74F7F951" w14:textId="50C3D973" w:rsidR="00E410CD" w:rsidRPr="00D42B4A" w:rsidRDefault="0061435B" w:rsidP="00756B03">
      <w:pPr>
        <w:pStyle w:val="Caption"/>
        <w:keepNext/>
        <w:spacing w:before="0" w:after="240"/>
        <w:ind w:left="-993"/>
        <w:jc w:val="both"/>
        <w:rPr>
          <w:i/>
          <w:iCs/>
          <w:sz w:val="18"/>
          <w:szCs w:val="20"/>
        </w:rPr>
      </w:pPr>
      <w:r>
        <w:rPr>
          <w:sz w:val="18"/>
          <w:szCs w:val="20"/>
        </w:rPr>
        <w:lastRenderedPageBreak/>
        <w:t>Table</w:t>
      </w:r>
      <w:r w:rsidR="00B77C53">
        <w:rPr>
          <w:sz w:val="18"/>
          <w:szCs w:val="20"/>
        </w:rPr>
        <w:t xml:space="preserve"> C1</w:t>
      </w:r>
      <w:r>
        <w:rPr>
          <w:sz w:val="18"/>
          <w:szCs w:val="20"/>
        </w:rPr>
        <w:t>.</w:t>
      </w:r>
      <w:r w:rsidR="00E410CD" w:rsidRPr="00D42B4A">
        <w:rPr>
          <w:sz w:val="18"/>
          <w:szCs w:val="20"/>
        </w:rPr>
        <w:t xml:space="preserve"> Evaluation of the technical readiness, CAPEX, OPEX, yield loss, energy efficiency, environmental impact of physical hydrogen and hydrogen carrier storage and transportation.</w:t>
      </w:r>
    </w:p>
    <w:tbl>
      <w:tblPr>
        <w:tblStyle w:val="TableGrid"/>
        <w:tblW w:w="1573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3"/>
        <w:gridCol w:w="1129"/>
        <w:gridCol w:w="1057"/>
        <w:gridCol w:w="1055"/>
        <w:gridCol w:w="850"/>
        <w:gridCol w:w="992"/>
        <w:gridCol w:w="1134"/>
        <w:gridCol w:w="1134"/>
        <w:gridCol w:w="1232"/>
        <w:gridCol w:w="1178"/>
        <w:gridCol w:w="992"/>
        <w:gridCol w:w="1560"/>
        <w:gridCol w:w="1559"/>
        <w:gridCol w:w="850"/>
      </w:tblGrid>
      <w:tr w:rsidR="00C670EC" w:rsidRPr="00F81774" w14:paraId="7776F112" w14:textId="77777777" w:rsidTr="00F94126">
        <w:trPr>
          <w:cnfStyle w:val="100000000000" w:firstRow="1" w:lastRow="0" w:firstColumn="0" w:lastColumn="0" w:oddVBand="0" w:evenVBand="0" w:oddHBand="0"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1013" w:type="dxa"/>
          </w:tcPr>
          <w:p w14:paraId="2E8225B8" w14:textId="77777777" w:rsidR="008C23DC" w:rsidRPr="00756B03" w:rsidRDefault="008C23DC" w:rsidP="0033223F">
            <w:pPr>
              <w:spacing w:after="160"/>
              <w:rPr>
                <w:color w:val="auto"/>
                <w:sz w:val="18"/>
                <w:szCs w:val="18"/>
              </w:rPr>
            </w:pPr>
            <w:r w:rsidRPr="00756B03">
              <w:rPr>
                <w:color w:val="auto"/>
                <w:sz w:val="18"/>
                <w:szCs w:val="18"/>
              </w:rPr>
              <w:t>Storage and Transport Medium</w:t>
            </w:r>
          </w:p>
        </w:tc>
        <w:tc>
          <w:tcPr>
            <w:tcW w:w="1129" w:type="dxa"/>
          </w:tcPr>
          <w:p w14:paraId="51EDDC2F"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Scenario</w:t>
            </w:r>
          </w:p>
        </w:tc>
        <w:tc>
          <w:tcPr>
            <w:tcW w:w="1057" w:type="dxa"/>
          </w:tcPr>
          <w:p w14:paraId="2D24D6D6"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Technical Readiness Level</w:t>
            </w:r>
          </w:p>
        </w:tc>
        <w:tc>
          <w:tcPr>
            <w:tcW w:w="1055" w:type="dxa"/>
          </w:tcPr>
          <w:p w14:paraId="79528876"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CAPEX</w:t>
            </w:r>
          </w:p>
          <w:p w14:paraId="6E4A03F6"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(A$ kWh</w:t>
            </w:r>
            <w:r w:rsidRPr="00756B03">
              <w:rPr>
                <w:b w:val="0"/>
                <w:bCs/>
                <w:color w:val="auto"/>
                <w:sz w:val="18"/>
                <w:szCs w:val="18"/>
                <w:vertAlign w:val="superscript"/>
              </w:rPr>
              <w:t>-1</w:t>
            </w:r>
            <w:r w:rsidRPr="00756B03">
              <w:rPr>
                <w:b w:val="0"/>
                <w:bCs/>
                <w:color w:val="auto"/>
                <w:sz w:val="18"/>
                <w:szCs w:val="18"/>
              </w:rPr>
              <w:t xml:space="preserve"> y</w:t>
            </w:r>
            <w:r w:rsidRPr="00756B03">
              <w:rPr>
                <w:b w:val="0"/>
                <w:bCs/>
                <w:color w:val="auto"/>
                <w:sz w:val="18"/>
                <w:szCs w:val="18"/>
                <w:vertAlign w:val="superscript"/>
              </w:rPr>
              <w:t>-1</w:t>
            </w:r>
            <w:r w:rsidRPr="00756B03">
              <w:rPr>
                <w:b w:val="0"/>
                <w:bCs/>
                <w:color w:val="auto"/>
                <w:sz w:val="18"/>
                <w:szCs w:val="18"/>
              </w:rPr>
              <w:t>)</w:t>
            </w:r>
          </w:p>
        </w:tc>
        <w:tc>
          <w:tcPr>
            <w:tcW w:w="850" w:type="dxa"/>
          </w:tcPr>
          <w:p w14:paraId="2886E031"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OPEX</w:t>
            </w:r>
          </w:p>
          <w:p w14:paraId="595379F6"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(A$ kWh</w:t>
            </w:r>
            <w:r w:rsidRPr="00756B03">
              <w:rPr>
                <w:b w:val="0"/>
                <w:bCs/>
                <w:color w:val="auto"/>
                <w:sz w:val="18"/>
                <w:szCs w:val="18"/>
                <w:vertAlign w:val="superscript"/>
              </w:rPr>
              <w:t>-1</w:t>
            </w:r>
            <w:r w:rsidRPr="00756B03">
              <w:rPr>
                <w:b w:val="0"/>
                <w:bCs/>
                <w:color w:val="auto"/>
                <w:sz w:val="18"/>
                <w:szCs w:val="18"/>
              </w:rPr>
              <w:t xml:space="preserve"> y</w:t>
            </w:r>
            <w:r w:rsidRPr="00756B03">
              <w:rPr>
                <w:b w:val="0"/>
                <w:bCs/>
                <w:color w:val="auto"/>
                <w:sz w:val="18"/>
                <w:szCs w:val="18"/>
                <w:vertAlign w:val="superscript"/>
              </w:rPr>
              <w:t>-1</w:t>
            </w:r>
            <w:r w:rsidRPr="00756B03">
              <w:rPr>
                <w:b w:val="0"/>
                <w:bCs/>
                <w:color w:val="auto"/>
                <w:sz w:val="18"/>
                <w:szCs w:val="18"/>
              </w:rPr>
              <w:t>)</w:t>
            </w:r>
          </w:p>
        </w:tc>
        <w:tc>
          <w:tcPr>
            <w:tcW w:w="992" w:type="dxa"/>
          </w:tcPr>
          <w:p w14:paraId="727ABB1D" w14:textId="0769DDCD" w:rsidR="008C23DC" w:rsidRPr="00756B03" w:rsidRDefault="008C23DC" w:rsidP="00742452">
            <w:pPr>
              <w:spacing w:after="160"/>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 xml:space="preserve">Storage Density </w:t>
            </w:r>
          </w:p>
          <w:p w14:paraId="69694530"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w:t>
            </w:r>
            <w:proofErr w:type="spellStart"/>
            <w:r w:rsidRPr="00756B03">
              <w:rPr>
                <w:b w:val="0"/>
                <w:bCs/>
                <w:color w:val="auto"/>
                <w:sz w:val="18"/>
                <w:szCs w:val="18"/>
              </w:rPr>
              <w:t>wt</w:t>
            </w:r>
            <w:proofErr w:type="spellEnd"/>
            <w:r w:rsidRPr="00756B03">
              <w:rPr>
                <w:b w:val="0"/>
                <w:bCs/>
                <w:color w:val="auto"/>
                <w:sz w:val="18"/>
                <w:szCs w:val="18"/>
              </w:rPr>
              <w:t>% hydrogen)</w:t>
            </w:r>
          </w:p>
        </w:tc>
        <w:tc>
          <w:tcPr>
            <w:tcW w:w="1134" w:type="dxa"/>
          </w:tcPr>
          <w:p w14:paraId="069033CF" w14:textId="3DD9273F" w:rsidR="008C23DC" w:rsidRPr="00756B03" w:rsidRDefault="006C213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Pr>
                <w:color w:val="auto"/>
                <w:sz w:val="18"/>
                <w:szCs w:val="18"/>
              </w:rPr>
              <w:t>Rec</w:t>
            </w:r>
            <w:r w:rsidR="008C23DC" w:rsidRPr="00756B03">
              <w:rPr>
                <w:color w:val="auto"/>
                <w:sz w:val="18"/>
                <w:szCs w:val="18"/>
              </w:rPr>
              <w:t>onversion Efficiency</w:t>
            </w:r>
          </w:p>
          <w:p w14:paraId="652038DB"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color w:val="auto"/>
                <w:sz w:val="18"/>
                <w:szCs w:val="18"/>
              </w:rPr>
              <w:t xml:space="preserve"> </w:t>
            </w:r>
            <w:r w:rsidRPr="00756B03">
              <w:rPr>
                <w:b w:val="0"/>
                <w:bCs/>
                <w:color w:val="auto"/>
                <w:sz w:val="18"/>
                <w:szCs w:val="18"/>
              </w:rPr>
              <w:t>(%)</w:t>
            </w:r>
          </w:p>
        </w:tc>
        <w:tc>
          <w:tcPr>
            <w:tcW w:w="1134" w:type="dxa"/>
          </w:tcPr>
          <w:p w14:paraId="20320D4A"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Volumetric Energy Density</w:t>
            </w:r>
          </w:p>
          <w:p w14:paraId="3B34A0A8"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(MJ L</w:t>
            </w:r>
            <w:r w:rsidRPr="00756B03">
              <w:rPr>
                <w:b w:val="0"/>
                <w:bCs/>
                <w:color w:val="auto"/>
                <w:sz w:val="18"/>
                <w:szCs w:val="18"/>
                <w:vertAlign w:val="superscript"/>
              </w:rPr>
              <w:t>-1</w:t>
            </w:r>
            <w:r w:rsidRPr="00756B03">
              <w:rPr>
                <w:b w:val="0"/>
                <w:bCs/>
                <w:color w:val="auto"/>
                <w:sz w:val="18"/>
                <w:szCs w:val="18"/>
              </w:rPr>
              <w:t>)</w:t>
            </w:r>
          </w:p>
        </w:tc>
        <w:tc>
          <w:tcPr>
            <w:tcW w:w="1232" w:type="dxa"/>
          </w:tcPr>
          <w:p w14:paraId="6D041F86"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 xml:space="preserve">Gravimetric Energy Density </w:t>
            </w:r>
          </w:p>
          <w:p w14:paraId="523A575B"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(MJ kg</w:t>
            </w:r>
            <w:r w:rsidRPr="00756B03">
              <w:rPr>
                <w:b w:val="0"/>
                <w:bCs/>
                <w:color w:val="auto"/>
                <w:sz w:val="18"/>
                <w:szCs w:val="18"/>
                <w:vertAlign w:val="superscript"/>
              </w:rPr>
              <w:t>-1</w:t>
            </w:r>
            <w:r w:rsidRPr="00756B03">
              <w:rPr>
                <w:b w:val="0"/>
                <w:bCs/>
                <w:color w:val="auto"/>
                <w:sz w:val="18"/>
                <w:szCs w:val="18"/>
              </w:rPr>
              <w:t>)</w:t>
            </w:r>
          </w:p>
        </w:tc>
        <w:tc>
          <w:tcPr>
            <w:tcW w:w="1178" w:type="dxa"/>
          </w:tcPr>
          <w:p w14:paraId="23362BAE" w14:textId="2C60B133"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 xml:space="preserve">Transport Cost </w:t>
            </w:r>
          </w:p>
          <w:p w14:paraId="70368215"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(A$ kg</w:t>
            </w:r>
            <w:r w:rsidRPr="00756B03">
              <w:rPr>
                <w:b w:val="0"/>
                <w:bCs/>
                <w:color w:val="auto"/>
                <w:sz w:val="18"/>
                <w:szCs w:val="18"/>
                <w:vertAlign w:val="superscript"/>
              </w:rPr>
              <w:t>-1</w:t>
            </w:r>
            <w:r w:rsidRPr="00756B03">
              <w:rPr>
                <w:b w:val="0"/>
                <w:bCs/>
                <w:color w:val="auto"/>
                <w:sz w:val="18"/>
                <w:szCs w:val="18"/>
              </w:rPr>
              <w:t>)</w:t>
            </w:r>
          </w:p>
        </w:tc>
        <w:tc>
          <w:tcPr>
            <w:tcW w:w="992" w:type="dxa"/>
          </w:tcPr>
          <w:p w14:paraId="76295198"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Yield Loss</w:t>
            </w:r>
          </w:p>
          <w:p w14:paraId="2A2C18B3"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bCs/>
                <w:color w:val="auto"/>
                <w:sz w:val="18"/>
                <w:szCs w:val="18"/>
              </w:rPr>
            </w:pPr>
            <w:r w:rsidRPr="00756B03">
              <w:rPr>
                <w:b w:val="0"/>
                <w:bCs/>
                <w:color w:val="auto"/>
                <w:sz w:val="18"/>
                <w:szCs w:val="18"/>
              </w:rPr>
              <w:t>(%)</w:t>
            </w:r>
          </w:p>
        </w:tc>
        <w:tc>
          <w:tcPr>
            <w:tcW w:w="1560" w:type="dxa"/>
          </w:tcPr>
          <w:p w14:paraId="78BC54D4"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color w:val="auto"/>
                <w:sz w:val="18"/>
                <w:szCs w:val="18"/>
              </w:rPr>
              <w:t>Decarbonisation Benefit</w:t>
            </w:r>
          </w:p>
          <w:p w14:paraId="6C0F45FE"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756B03">
              <w:rPr>
                <w:b w:val="0"/>
                <w:color w:val="auto"/>
                <w:sz w:val="18"/>
                <w:szCs w:val="18"/>
              </w:rPr>
              <w:t>(</w:t>
            </w:r>
            <w:proofErr w:type="gramStart"/>
            <w:r w:rsidRPr="00756B03">
              <w:rPr>
                <w:b w:val="0"/>
                <w:color w:val="auto"/>
                <w:sz w:val="18"/>
                <w:szCs w:val="18"/>
              </w:rPr>
              <w:t>kg</w:t>
            </w:r>
            <w:proofErr w:type="gramEnd"/>
            <w:r w:rsidRPr="00756B03">
              <w:rPr>
                <w:b w:val="0"/>
                <w:color w:val="auto"/>
                <w:sz w:val="18"/>
                <w:szCs w:val="18"/>
              </w:rPr>
              <w:t xml:space="preserve"> CO</w:t>
            </w:r>
            <w:r w:rsidRPr="00756B03">
              <w:rPr>
                <w:b w:val="0"/>
                <w:color w:val="auto"/>
                <w:sz w:val="18"/>
                <w:szCs w:val="18"/>
                <w:vertAlign w:val="subscript"/>
              </w:rPr>
              <w:t>2</w:t>
            </w:r>
            <w:r w:rsidRPr="00756B03">
              <w:rPr>
                <w:b w:val="0"/>
                <w:color w:val="auto"/>
                <w:sz w:val="18"/>
                <w:szCs w:val="18"/>
              </w:rPr>
              <w:t xml:space="preserve"> eq. per kg fuel)</w:t>
            </w:r>
          </w:p>
          <w:p w14:paraId="20FD2094"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1559" w:type="dxa"/>
          </w:tcPr>
          <w:p w14:paraId="29D7989F"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Comments</w:t>
            </w:r>
          </w:p>
        </w:tc>
        <w:tc>
          <w:tcPr>
            <w:tcW w:w="850" w:type="dxa"/>
          </w:tcPr>
          <w:p w14:paraId="4F06D0D8"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Source</w:t>
            </w:r>
          </w:p>
          <w:p w14:paraId="5386DA71" w14:textId="77777777" w:rsidR="008C23DC" w:rsidRPr="00756B03" w:rsidRDefault="008C23DC" w:rsidP="0033223F">
            <w:pPr>
              <w:spacing w:after="160"/>
              <w:jc w:val="center"/>
              <w:cnfStyle w:val="100000000000" w:firstRow="1" w:lastRow="0" w:firstColumn="0" w:lastColumn="0" w:oddVBand="0" w:evenVBand="0" w:oddHBand="0" w:evenHBand="0" w:firstRowFirstColumn="0" w:firstRowLastColumn="0" w:lastRowFirstColumn="0" w:lastRowLastColumn="0"/>
              <w:rPr>
                <w:color w:val="auto"/>
                <w:sz w:val="18"/>
                <w:szCs w:val="18"/>
              </w:rPr>
            </w:pPr>
          </w:p>
        </w:tc>
      </w:tr>
      <w:tr w:rsidR="00C670EC" w:rsidRPr="00F81774" w14:paraId="26A26F82" w14:textId="77777777" w:rsidTr="00F94126">
        <w:trPr>
          <w:trHeight w:val="644"/>
        </w:trPr>
        <w:tc>
          <w:tcPr>
            <w:cnfStyle w:val="001000000000" w:firstRow="0" w:lastRow="0" w:firstColumn="1" w:lastColumn="0" w:oddVBand="0" w:evenVBand="0" w:oddHBand="0" w:evenHBand="0" w:firstRowFirstColumn="0" w:firstRowLastColumn="0" w:lastRowFirstColumn="0" w:lastRowLastColumn="0"/>
            <w:tcW w:w="1013" w:type="dxa"/>
            <w:vMerge w:val="restart"/>
          </w:tcPr>
          <w:p w14:paraId="290B3F72" w14:textId="77777777" w:rsidR="009A5826" w:rsidRPr="00756B03" w:rsidRDefault="009A5826" w:rsidP="0033223F">
            <w:pPr>
              <w:rPr>
                <w:color w:val="auto"/>
                <w:sz w:val="18"/>
                <w:szCs w:val="18"/>
              </w:rPr>
            </w:pPr>
            <w:r w:rsidRPr="00756B03">
              <w:rPr>
                <w:color w:val="auto"/>
                <w:sz w:val="18"/>
                <w:szCs w:val="18"/>
              </w:rPr>
              <w:t>Liquefied Hydrogen</w:t>
            </w:r>
          </w:p>
        </w:tc>
        <w:tc>
          <w:tcPr>
            <w:tcW w:w="1129" w:type="dxa"/>
          </w:tcPr>
          <w:p w14:paraId="2F8DAE4A"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Production and Storage</w:t>
            </w:r>
          </w:p>
        </w:tc>
        <w:tc>
          <w:tcPr>
            <w:tcW w:w="1057" w:type="dxa"/>
          </w:tcPr>
          <w:p w14:paraId="6964175C"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9</w:t>
            </w:r>
          </w:p>
        </w:tc>
        <w:tc>
          <w:tcPr>
            <w:tcW w:w="1055" w:type="dxa"/>
          </w:tcPr>
          <w:p w14:paraId="3FE11364"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0.863</w:t>
            </w:r>
          </w:p>
        </w:tc>
        <w:tc>
          <w:tcPr>
            <w:tcW w:w="850" w:type="dxa"/>
          </w:tcPr>
          <w:p w14:paraId="38B1BD8B"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0.653</w:t>
            </w:r>
          </w:p>
        </w:tc>
        <w:tc>
          <w:tcPr>
            <w:tcW w:w="992" w:type="dxa"/>
          </w:tcPr>
          <w:p w14:paraId="15C14BA6"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100</w:t>
            </w:r>
          </w:p>
        </w:tc>
        <w:tc>
          <w:tcPr>
            <w:tcW w:w="1134" w:type="dxa"/>
            <w:shd w:val="clear" w:color="auto" w:fill="FFFFFF" w:themeFill="background1"/>
          </w:tcPr>
          <w:p w14:paraId="337FE417"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61</w:t>
            </w:r>
          </w:p>
        </w:tc>
        <w:tc>
          <w:tcPr>
            <w:tcW w:w="1134" w:type="dxa"/>
          </w:tcPr>
          <w:p w14:paraId="4C5E1674"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8.5</w:t>
            </w:r>
          </w:p>
        </w:tc>
        <w:tc>
          <w:tcPr>
            <w:tcW w:w="1232" w:type="dxa"/>
          </w:tcPr>
          <w:p w14:paraId="509040A6"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120</w:t>
            </w:r>
          </w:p>
        </w:tc>
        <w:tc>
          <w:tcPr>
            <w:tcW w:w="1178" w:type="dxa"/>
            <w:vMerge w:val="restart"/>
            <w:shd w:val="clear" w:color="auto" w:fill="auto"/>
          </w:tcPr>
          <w:p w14:paraId="490CF858" w14:textId="540C58E3" w:rsidR="009A5826" w:rsidRPr="00756B03" w:rsidRDefault="009D6636" w:rsidP="00EA260C">
            <w:pPr>
              <w:spacing w:before="720" w:after="36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1.01</w:t>
            </w:r>
          </w:p>
        </w:tc>
        <w:tc>
          <w:tcPr>
            <w:tcW w:w="992" w:type="dxa"/>
          </w:tcPr>
          <w:p w14:paraId="11A03238"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0.2</w:t>
            </w:r>
          </w:p>
        </w:tc>
        <w:tc>
          <w:tcPr>
            <w:tcW w:w="1560" w:type="dxa"/>
          </w:tcPr>
          <w:p w14:paraId="49B3578C"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w:t>
            </w:r>
          </w:p>
        </w:tc>
        <w:tc>
          <w:tcPr>
            <w:tcW w:w="1559" w:type="dxa"/>
          </w:tcPr>
          <w:p w14:paraId="00328176" w14:textId="77777777"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Existing Small-scale production and storage Technologies</w:t>
            </w:r>
          </w:p>
        </w:tc>
        <w:tc>
          <w:tcPr>
            <w:tcW w:w="850" w:type="dxa"/>
          </w:tcPr>
          <w:p w14:paraId="2C9D390D" w14:textId="3BBA1DEF" w:rsidR="009A5826" w:rsidRPr="00756B03" w:rsidRDefault="009A5826"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fldChar w:fldCharType="begin" w:fldLock="1"/>
            </w:r>
            <w:r w:rsidR="00FF4E1A">
              <w:rPr>
                <w:color w:val="auto"/>
                <w:sz w:val="18"/>
                <w:szCs w:val="18"/>
              </w:rPr>
              <w:instrText>ADDIN CSL_CITATION {"citationItems":[{"id":"ITEM-1","itemData":{"DOI":"10.1016/j.ijhydene.2020.09.017","ISSN":"03603199","abstract":"Low-carbon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Energy","id":"ITEM-1","issue":"58","issued":{"date-parts":[["2020","11"]]},"page":"32865-32883","publisher":"Elsevier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7915753b-82cf-35a2-b231-64db04f005f9","http://www.mendeley.com/documents/?uuid=25c129ea-f0fe-4aaa-9bba-df9ca76f0962","http://www.mendeley.com/documents/?uuid=aea2687e-0a38-4c6e-9eba-bcfbc70118de","http://www.mendeley.com/documents/?uuid=b9db90f4-e09f-433c-8a1f-b43d3a409d78"]},{"id":"ITEM-2","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P","given":"","non-dropping-particle":"","parse-names":false,"suffix":""}],"id":"ITEM-2","issued":{"date-parts":[["2019"]]},"publisher":"CSIRO","title":"Pathways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http://www.mendeley.com/documents/?uuid=8d8d0eba-ab88-466a-a1d7-eea785003769"]},{"id":"ITEM-3","itemData":{"DOI":"10.1016/j.egyr.2020.07.013","ISSN":"23524847","abstract":"As a result of particular locations of large-scale energy producers and increases in energy demand, transporting energy has become one of the key challenges of energy supply. For a long-distance ocean transportation, transfer of energy carriers via ocean tankers is considered as a decent solution compared to pipelines. Due to cryogenic temperatures of energy carriers, heat leaks into storage tanks of these carriers causes a problem called boil-off gas (BOG). BOG losses reduce the quantity of energy carriers, which affects their economic value. Therefore, this study proposes to examine the effects of BOG economically in production and transportation phases of potential energy carriers produced from natural gas, namely; liquefied natural gas (LNG), dimethyl-ether (DME), methanol, liquid ammonia (NH3), and liquid hydrogen (H2). Mathematical approach is used to calculate production and transportation costs of these energy carriers and to account for BOG as a unit cost within the total cost. The results of this study show that transportation costs of LNG, liquid ammonia, methanol, DME, and liquid hydrogen from natural gas accounting for BOG are 0.74 $/GJ, 1.09 $/GJ, 0.68 $/GJ, 0.53 $/GJ, and 3.24 $/GJ, respectively. DME and methanol can be more economic compared to LNG to transport the energy of natural gas for the same ship capacity. Including social cost of carbon (SCC) within the total cost of transporting the energy of natural gas, the transportation cost of liquid ammonia is 1.11 $/GJ, whereas LNG transportation cost rises significantly to 1.68 $/GJ at SCC of 137 $/t CO2 eq. Consequently, liquid ammonia becomes economically favored compared to LNG. Transportation cost of methanol (0.70 $/GJ) and DME (0.55 $/GJ) are also lower than LNG, however, liquid hydrogen transportation cost (3.24 $/GJ) is still the highest even though the increment of the cost is about 0.1% as SCC included within the transportation cost.","author":[{"dropping-particle":"","family":"Al-Breiki","given":"Mohammed","non-dropping-particle":"","parse-names":false,"suffix":""},{"dropping-particle":"","family":"Bicer","given":"Yusuf","non-dropping-particle":"","parse-names":false,"suffix":""}],"container-title":"Energy Reports","id":"ITEM-3","issued":{"date-parts":[["2020","11"]]},"page":"1897-1909","publisher":"Elsevier Ltd","title":"Comparative cost assessment of sustainable energy carriers produced from natural gas accounting for boil-off gas and social cost of carbon","type":"article-journal","volume":"6"},"uris":["http://www.mendeley.com/documents/?uuid=efdb4c2d-169f-4e97-9025-7eb0d85d85c5","http://www.mendeley.com/documents/?uuid=2dea04df-9991-387b-a17e-2d81de1d8f50","http://www.mendeley.com/documents/?uuid=3bcc8aaf-aa35-4ece-b242-0748180bf679"]},{"id":"ITEM-4","itemData":{"DOI":"10.1016/j.enconman.2020.112652","ISSN":"01968904","abstract":"The technological barriers against energy transport includes low energy density, intermittent supply and immobility of the energy sources. A potential and sustainable solution to overcome these barriers is to use an effective and efficient energy carrier which can store, transport and distribute energy in a technically feasible manner. Therefore, this study presents five potential energy carriers for overseas energy transport; liquifed natural gas (LNG), dimethyl ether (DME), liquid ammonia, methanol and liquid hydrogen which are used to carry the energy of natural gas in liquefied form from a supplied region to a demanded region. During the supply chain of the energy carriers, the amount of boil-off gas (BOG) for each energy carrier is calculated. A sensitivity analysis affecting BOG rates is implemented under variety of parameters, namely; ambient temperature, storage pressure, land storage time, ocean transportation time, heel percentage and pumping time. This study shows that the daily BOG rates for LNG, DME, ammonia, methanol, and hydrogen are calculated as 0.471%, 0.159%, 0.129%, 0.049%, and 3.438%, respectively. Methanol delivers the greatest mass, DME delivers the greatest energy and hydrogen loses the greatest mass as BOG during the supply chain. The highest BOG generation mainly occurs during ocean transportation phase, implying that ocean transportation time is the most critical parameter among the studied parameters.","author":[{"dropping-particle":"","family":"Al-Breiki","given":"Mohammed","non-dropping-particle":"","parse-names":false,"suffix":""},{"dropping-particle":"","family":"Bicer","given":"Yusuf","non-dropping-particle":"","parse-names":false,"suffix":""}],"container-title":"Energy Conversion and Management","id":"ITEM-4","issued":{"date-parts":[["2020","4"]]},"publisher":"Elsevier Ltd","title":"Investigating the technical feasibility of various energy carriers for alternative and sustainable overseas energy transport scenarios","type":"article-journal","volume":"209"},"uris":["http://www.mendeley.com/documents/?uuid=008c9c32-2200-4fd0-849b-e0038b1e6d3d","http://www.mendeley.com/documents/?uuid=dee8433d-39fe-3dd1-853a-17cd7beab655","http://www.mendeley.com/documents/?uuid=2dddf28a-f605-4087-9def-8d1bf78c2d08"]}],"mendeley":{"formattedCitation":"&lt;sup&gt;95–98&lt;/sup&gt;","plainTextFormattedCitation":"95–98","previouslyFormattedCitation":"&lt;sup&gt;95–98&lt;/sup&gt;"},"properties":{"noteIndex":0},"schema":"https://github.com/citation-style-language/schema/raw/master/csl-citation.json"}</w:instrText>
            </w:r>
            <w:r w:rsidRPr="00756B03">
              <w:rPr>
                <w:color w:val="auto"/>
                <w:sz w:val="18"/>
                <w:szCs w:val="18"/>
              </w:rPr>
              <w:fldChar w:fldCharType="separate"/>
            </w:r>
            <w:r w:rsidR="00BD7196" w:rsidRPr="00BD7196">
              <w:rPr>
                <w:noProof/>
                <w:color w:val="auto"/>
                <w:sz w:val="18"/>
                <w:szCs w:val="18"/>
                <w:vertAlign w:val="superscript"/>
              </w:rPr>
              <w:t>95–98</w:t>
            </w:r>
            <w:r w:rsidRPr="00756B03">
              <w:rPr>
                <w:color w:val="auto"/>
                <w:sz w:val="18"/>
                <w:szCs w:val="18"/>
              </w:rPr>
              <w:fldChar w:fldCharType="end"/>
            </w:r>
          </w:p>
        </w:tc>
      </w:tr>
      <w:tr w:rsidR="004B2530" w:rsidRPr="00F81774" w14:paraId="3B8479E7" w14:textId="77777777" w:rsidTr="00F94126">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013" w:type="dxa"/>
            <w:vMerge/>
          </w:tcPr>
          <w:p w14:paraId="409C908A" w14:textId="77777777" w:rsidR="009A5826" w:rsidRPr="00756B03" w:rsidRDefault="009A5826" w:rsidP="0033223F">
            <w:pPr>
              <w:rPr>
                <w:color w:val="auto"/>
                <w:sz w:val="18"/>
                <w:szCs w:val="18"/>
              </w:rPr>
            </w:pPr>
          </w:p>
        </w:tc>
        <w:tc>
          <w:tcPr>
            <w:tcW w:w="1129" w:type="dxa"/>
          </w:tcPr>
          <w:p w14:paraId="5161CE75"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Transport</w:t>
            </w:r>
          </w:p>
        </w:tc>
        <w:tc>
          <w:tcPr>
            <w:tcW w:w="1057" w:type="dxa"/>
          </w:tcPr>
          <w:p w14:paraId="303A2D8E"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7</w:t>
            </w:r>
          </w:p>
        </w:tc>
        <w:tc>
          <w:tcPr>
            <w:tcW w:w="1055" w:type="dxa"/>
          </w:tcPr>
          <w:p w14:paraId="42F26C43"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850" w:type="dxa"/>
          </w:tcPr>
          <w:p w14:paraId="693031B6"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992" w:type="dxa"/>
          </w:tcPr>
          <w:p w14:paraId="78EFF81E"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134" w:type="dxa"/>
          </w:tcPr>
          <w:p w14:paraId="290E9168"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134" w:type="dxa"/>
          </w:tcPr>
          <w:p w14:paraId="2EED1C06"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232" w:type="dxa"/>
          </w:tcPr>
          <w:p w14:paraId="5958D278"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178" w:type="dxa"/>
            <w:vMerge/>
            <w:shd w:val="clear" w:color="auto" w:fill="auto"/>
          </w:tcPr>
          <w:p w14:paraId="3F8F1997" w14:textId="03218AFC"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p>
        </w:tc>
        <w:tc>
          <w:tcPr>
            <w:tcW w:w="992" w:type="dxa"/>
          </w:tcPr>
          <w:p w14:paraId="6FD58115"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560" w:type="dxa"/>
          </w:tcPr>
          <w:p w14:paraId="6CC5EA8D"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w:t>
            </w:r>
          </w:p>
        </w:tc>
        <w:tc>
          <w:tcPr>
            <w:tcW w:w="1559" w:type="dxa"/>
          </w:tcPr>
          <w:p w14:paraId="7FC42106" w14:textId="77777777"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Intercontinental Vessels under development</w:t>
            </w:r>
          </w:p>
        </w:tc>
        <w:tc>
          <w:tcPr>
            <w:tcW w:w="850" w:type="dxa"/>
          </w:tcPr>
          <w:p w14:paraId="2233E27C" w14:textId="255C9BF1" w:rsidR="009A5826" w:rsidRPr="00756B03" w:rsidRDefault="009A5826"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fldChar w:fldCharType="begin" w:fldLock="1"/>
            </w:r>
            <w:r w:rsidR="00FF4E1A">
              <w:rPr>
                <w:color w:val="auto"/>
                <w:sz w:val="18"/>
                <w:szCs w:val="18"/>
              </w:rPr>
              <w:instrText>ADDIN CSL_CITATION {"citationItems":[{"id":"ITEM-1","itemData":{"abstract":"The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P","given":"","non-dropping-particle":"","parse-names":false,"suffix":""}],"id":"ITEM-1","issued":{"date-parts":[["2019"]]},"publisher":"CSIRO","title":"Pathways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id":"ITEM-2","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Energy","id":"ITEM-2","issue":"58","issued":{"date-parts":[["2020","11"]]},"page":"32865-32883","publisher":"Elsevier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25c129ea-f0fe-4aaa-9bba-df9ca76f0962","http://www.mendeley.com/documents/?uuid=7915753b-82cf-35a2-b231-64db04f005f9","http://www.mendeley.com/documents/?uuid=b58ba29b-cff3-4ce6-85cf-f50d41bf6581","http://www.mendeley.com/documents/?uuid=a5403e12-d781-4803-a271-90aa947ed498"]}],"mendeley":{"formattedCitation":"&lt;sup&gt;95,96&lt;/sup&gt;","plainTextFormattedCitation":"95,96","previouslyFormattedCitation":"&lt;sup&gt;95,96&lt;/sup&gt;"},"properties":{"noteIndex":0},"schema":"https://github.com/citation-style-language/schema/raw/master/csl-citation.json"}</w:instrText>
            </w:r>
            <w:r w:rsidRPr="00756B03">
              <w:rPr>
                <w:color w:val="auto"/>
                <w:sz w:val="18"/>
                <w:szCs w:val="18"/>
              </w:rPr>
              <w:fldChar w:fldCharType="separate"/>
            </w:r>
            <w:r w:rsidR="00BD7196" w:rsidRPr="00BD7196">
              <w:rPr>
                <w:noProof/>
                <w:color w:val="auto"/>
                <w:sz w:val="18"/>
                <w:szCs w:val="18"/>
                <w:vertAlign w:val="superscript"/>
              </w:rPr>
              <w:t>95,96</w:t>
            </w:r>
            <w:r w:rsidRPr="00756B03">
              <w:rPr>
                <w:color w:val="auto"/>
                <w:sz w:val="18"/>
                <w:szCs w:val="18"/>
              </w:rPr>
              <w:fldChar w:fldCharType="end"/>
            </w:r>
          </w:p>
        </w:tc>
      </w:tr>
      <w:tr w:rsidR="00C670EC" w:rsidRPr="00F81774" w14:paraId="1C529B75" w14:textId="77777777" w:rsidTr="00F94126">
        <w:trPr>
          <w:trHeight w:val="859"/>
        </w:trPr>
        <w:tc>
          <w:tcPr>
            <w:cnfStyle w:val="001000000000" w:firstRow="0" w:lastRow="0" w:firstColumn="1" w:lastColumn="0" w:oddVBand="0" w:evenVBand="0" w:oddHBand="0" w:evenHBand="0" w:firstRowFirstColumn="0" w:firstRowLastColumn="0" w:lastRowFirstColumn="0" w:lastRowLastColumn="0"/>
            <w:tcW w:w="1013" w:type="dxa"/>
          </w:tcPr>
          <w:p w14:paraId="64455800" w14:textId="77777777" w:rsidR="008C23DC" w:rsidRPr="00756B03" w:rsidRDefault="008C23DC" w:rsidP="0033223F">
            <w:pPr>
              <w:rPr>
                <w:color w:val="auto"/>
                <w:sz w:val="18"/>
                <w:szCs w:val="18"/>
              </w:rPr>
            </w:pPr>
            <w:r w:rsidRPr="00756B03">
              <w:rPr>
                <w:color w:val="auto"/>
                <w:sz w:val="18"/>
                <w:szCs w:val="18"/>
              </w:rPr>
              <w:t>Ammonia</w:t>
            </w:r>
          </w:p>
        </w:tc>
        <w:tc>
          <w:tcPr>
            <w:tcW w:w="1129" w:type="dxa"/>
          </w:tcPr>
          <w:p w14:paraId="534DE3F9"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Production, Storage and Transport</w:t>
            </w:r>
          </w:p>
        </w:tc>
        <w:tc>
          <w:tcPr>
            <w:tcW w:w="1057" w:type="dxa"/>
          </w:tcPr>
          <w:p w14:paraId="6E2F977A"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9</w:t>
            </w:r>
          </w:p>
        </w:tc>
        <w:tc>
          <w:tcPr>
            <w:tcW w:w="1055" w:type="dxa"/>
          </w:tcPr>
          <w:p w14:paraId="32D32339"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0.921</w:t>
            </w:r>
          </w:p>
        </w:tc>
        <w:tc>
          <w:tcPr>
            <w:tcW w:w="850" w:type="dxa"/>
          </w:tcPr>
          <w:p w14:paraId="68FB1DF1"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0.318</w:t>
            </w:r>
          </w:p>
        </w:tc>
        <w:tc>
          <w:tcPr>
            <w:tcW w:w="992" w:type="dxa"/>
          </w:tcPr>
          <w:p w14:paraId="04B89766"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17.65</w:t>
            </w:r>
          </w:p>
        </w:tc>
        <w:tc>
          <w:tcPr>
            <w:tcW w:w="1134" w:type="dxa"/>
          </w:tcPr>
          <w:p w14:paraId="3894C64C"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44</w:t>
            </w:r>
          </w:p>
        </w:tc>
        <w:tc>
          <w:tcPr>
            <w:tcW w:w="1134" w:type="dxa"/>
          </w:tcPr>
          <w:p w14:paraId="3E882BD3"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12.7</w:t>
            </w:r>
          </w:p>
        </w:tc>
        <w:tc>
          <w:tcPr>
            <w:tcW w:w="1232" w:type="dxa"/>
          </w:tcPr>
          <w:p w14:paraId="09060BCE"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18.6</w:t>
            </w:r>
          </w:p>
        </w:tc>
        <w:tc>
          <w:tcPr>
            <w:tcW w:w="1178" w:type="dxa"/>
            <w:shd w:val="clear" w:color="auto" w:fill="auto"/>
          </w:tcPr>
          <w:p w14:paraId="47FFA29F" w14:textId="6E6FC19F" w:rsidR="008C23DC" w:rsidRPr="00756B03" w:rsidRDefault="003A5510"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0.104</w:t>
            </w:r>
          </w:p>
        </w:tc>
        <w:tc>
          <w:tcPr>
            <w:tcW w:w="992" w:type="dxa"/>
          </w:tcPr>
          <w:p w14:paraId="350E7DDC"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0.0043</w:t>
            </w:r>
          </w:p>
        </w:tc>
        <w:tc>
          <w:tcPr>
            <w:tcW w:w="1560" w:type="dxa"/>
          </w:tcPr>
          <w:p w14:paraId="07FF416F"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w:t>
            </w:r>
          </w:p>
        </w:tc>
        <w:tc>
          <w:tcPr>
            <w:tcW w:w="1559" w:type="dxa"/>
          </w:tcPr>
          <w:p w14:paraId="667DF100"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Existing Export Industry</w:t>
            </w:r>
          </w:p>
        </w:tc>
        <w:tc>
          <w:tcPr>
            <w:tcW w:w="850" w:type="dxa"/>
          </w:tcPr>
          <w:p w14:paraId="08937741" w14:textId="6D9B9EC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fldChar w:fldCharType="begin" w:fldLock="1"/>
            </w:r>
            <w:r w:rsidR="00D21B34">
              <w:rPr>
                <w:color w:val="auto"/>
                <w:sz w:val="18"/>
                <w:szCs w:val="18"/>
              </w:rPr>
              <w:instrText>ADDIN CSL_CITATION {"citationItems":[{"id":"ITEM-1","itemData":{"abstract":"The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P","given":"","non-dropping-particle":"","parse-names":false,"suffix":""}],"id":"ITEM-1","issued":{"date-parts":[["2019"]]},"publisher":"CSIRO","title":"Pathways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id":"ITEM-2","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Energy","id":"ITEM-2","issue":"58","issued":{"date-parts":[["2020","11"]]},"page":"32865-32883","publisher":"Elsevier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25c129ea-f0fe-4aaa-9bba-df9ca76f0962","http://www.mendeley.com/documents/?uuid=7915753b-82cf-35a2-b231-64db04f005f9","http://www.mendeley.com/documents/?uuid=867e49a2-957b-42aa-aef8-4803bedb5c86","http://www.mendeley.com/documents/?uuid=2bf321ff-acd5-4c7a-a32a-3d5a4bec7801","http://www.mendeley.com/documents/?uuid=09be7f1c-e6f3-422b-8546-34d040b6c281","http://www.mendeley.com/documents/?uuid=cf2fdc47-3a71-417d-90a4-bed7ba2590d1","http://www.mendeley.com/documents/?uuid=1755d95c-6726-48b0-afcb-8a7c52152b14"]},{"id":"ITEM-3","itemData":{"DOI":"10.1016/j.apenergy.2019.114135","ISSN":"03062619","abstract":"To reduce the fossil-fuel consumption and the impacts of conventional ammonia production on climate change, green ammonia production processes using green hydrogen need to be investigated. For commercial production scale, potential alternatives can be based on biomass gasification and water electrolysis via renewable energy, namely biomass- and power-to-ammonia. The former generally uses entrained flow gasifier due to low CO2 and almost no tar, and air separation units are shared by the gasifier and ammonia synthesis. The latter may use solid-oxide electrolyzer due to high electrical efficiency and the possibility of heat integration with the ammonia synthesis process. In this paper, techno-economic feasibility of these two green ammonia production processes are investigated and compared with the state-of-the-art methane-to-ammonia process, considering system-level heat integration and optimal placement of steam cycles for heat recovery. With a reference ammonia production of 50 kton/year, the results show that there are trade-offs between the overall energy efficiency (LHV) and ammonia production cost for all three cases. The biomass-to-ammonia is the most exothermic but is largely limited by the large heat requirement of acid gas removal. The steam cycles with three pressure levels are able to maximize the heat utilization at the system level. The power-to-ammonia achieves the highest system efficiency of over 74%, much higher than that of biomass-to-ammonia (44%) and methane-to-ammonia (61%). The biomass-to-ammonia reaches above 450 $/ton ammonia production cost with a payback time of over 6 years, higher than those of methane-to-ammonia (400 $/ton, 5 years). The power-to-ammonia is currently not economically feasible due to high stack costs and electricity prices; however, it can be competitive with a payback time of below 5 years with mass production of solid-oxide industry and increased renewable power penetration.","author":[{"dropping-particle":"","family":"Zhang","given":"Hanfei","non-dropping-particle":"","parse-names":false,"suffix":""},{"dropping-particle":"","family":"Wang","given":"Ligang","non-dropping-particle":"","parse-names":false,"suffix":""},{"dropping-particle":"","family":"herle","given":"Jan","non-dropping-particle":"Van","parse-names":false,"suffix":""},{"dropping-particle":"","family":"Maréchal","given":"François","non-dropping-particle":"","parse-names":false,"suffix":""},{"dropping-particle":"","family":"Desideri","given":"Umberto","non-dropping-particle":"","parse-names":false,"suffix":""}],"container-title":"Applied Energy","id":"ITEM-3","issued":{"date-parts":[["2020","2"]]},"publisher":"Elsevier Ltd","title":"Techno-economic comparison of green ammonia production processes","type":"article-journal","volume":"259"},"uris":["http://www.mendeley.com/documents/?uuid=2eba76ab-831e-37fd-9c53-4a78148bfa4d","http://www.mendeley.com/documents/?uuid=00571489-4859-4507-ad59-1339db159c31","http://www.mendeley.com/documents/?uuid=e1e1c22a-44a9-47f5-93ec-08e4693f22df"]},{"id":"ITEM-4","itemData":{"author":[{"dropping-particle":"","family":"QNP","given":"","non-dropping-particle":"","parse-names":false,"suffix":""},{"dropping-particle":"","family":"ARENA","given":"","non-dropping-particle":"","parse-names":false,"suffix":""},{"dropping-particle":"","family":"Neon and Worley","given":"","non-dropping-particle":"","parse-names":false,"suffix":""}],"id":"ITEM-4","issue":"June","issued":{"date-parts":[["2020"]]},"title":"QNP Green Ammonia Project Feasibility Study","type":"article-journal"},"uris":["http://www.mendeley.com/documents/?uuid=7988ae91-c4a3-4c72-9a53-0fbdf0fefc09"]},{"id":"ITEM-5","itemData":{"DOI":"10.1016/j.egyr.2020.07.013","ISSN":"23524847","abstract":"As a result of particular locations of large-scale energy producers and increases in energy demand, transporting energy has become one of the key challenges of energy supply. For a long-distance ocean transportation, transfer of energy carriers via ocean tankers is considered as a decent solution compared to pipelines. Due to cryogenic temperatures of energy carriers, heat leaks into storage tanks of these carriers causes a problem called boil-off gas (BOG). BOG losses reduce the quantity of energy carriers, which affects their economic value. Therefore, this study proposes to examine the effects of BOG economically in production and transportation phases of potential energy carriers produced from natural gas, namely; liquefied natural gas (LNG), dimethyl-ether (DME), methanol, liquid ammonia (NH3), and liquid hydrogen (H2). Mathematical approach is used to calculate production and transportation costs of these energy carriers and to account for BOG as a unit cost within the total cost. The results of this study show that transportation costs of LNG, liquid ammonia, methanol, DME, and liquid hydrogen from natural gas accounting for BOG are 0.74 $/GJ, 1.09 $/GJ, 0.68 $/GJ, 0.53 $/GJ, and 3.24 $/GJ, respectively. DME and methanol can be more economic compared to LNG to transport the energy of natural gas for the same ship capacity. Including social cost of carbon (SCC) within the total cost of transporting the energy of natural gas, the transportation cost of liquid ammonia is 1.11 $/GJ, whereas LNG transportation cost rises significantly to 1.68 $/GJ at SCC of 137 $/t CO2 eq. Consequently, liquid ammonia becomes economically favored compared to LNG. Transportation cost of methanol (0.70 $/GJ) and DME (0.55 $/GJ) are also lower than LNG, however, liquid hydrogen transportation cost (3.24 $/GJ) is still the highest even though the increment of the cost is about 0.1% as SCC included within the transportation cost.","author":[{"dropping-particle":"","family":"Al-Breiki","given":"Mohammed","non-dropping-particle":"","parse-names":false,"suffix":""},{"dropping-particle":"","family":"Bicer","given":"Yusuf","non-dropping-particle":"","parse-names":false,"suffix":""}],"container-title":"Energy Reports","id":"ITEM-5","issued":{"date-parts":[["2020","11"]]},"page":"1897-1909","publisher":"Elsevier Ltd","title":"Comparative cost assessment of sustainable energy carriers produced from natural gas accounting for boil-off gas and social cost of carbon","type":"article-journal","volume":"6"},"uris":["http://www.mendeley.com/documents/?uuid=efdb4c2d-169f-4e97-9025-7eb0d85d85c5","http://www.mendeley.com/documents/?uuid=3bcc8aaf-aa35-4ece-b242-0748180bf679","http://www.mendeley.com/documents/?uuid=2dea04df-9991-387b-a17e-2d81de1d8f50","http://www.mendeley.com/documents/?uuid=36cc84c7-c25e-4d68-8a39-ede9d2644249","http://www.mendeley.com/documents/?uuid=fc6f11a6-cd50-4bb4-8c1e-5948f3870e8f"]},{"id":"ITEM-6","itemData":{"DOI":"10.1016/j.enconman.2020.112652","ISSN":"01968904","abstract":"The technological barriers against energy transport includes low energy density, intermittent supply and immobility of the energy sources. A potential and sustainable solution to overcome these barriers is to use an effective and efficient energy carrier which can store, transport and distribute energy in a technically feasible manner. Therefore, this study presents five potential energy carriers for overseas energy transport; liquifed natural gas (LNG), dimethyl ether (DME), liquid ammonia, methanol and liquid hydrogen which are used to carry the energy of natural gas in liquefied form from a supplied region to a demanded region. During the supply chain of the energy carriers, the amount of boil-off gas (BOG) for each energy carrier is calculated. A sensitivity analysis affecting BOG rates is implemented under variety of parameters, namely; ambient temperature, storage pressure, land storage time, ocean transportation time, heel percentage and pumping time. This study shows that the daily BOG rates for LNG, DME, ammonia, methanol, and hydrogen are calculated as 0.471%, 0.159%, 0.129%, 0.049%, and 3.438%, respectively. Methanol delivers the greatest mass, DME delivers the greatest energy and hydrogen loses the greatest mass as BOG during the supply chain. The highest BOG generation mainly occurs during ocean transportation phase, implying that ocean transportation time is the most critical parameter among the studied parameters.","author":[{"dropping-particle":"","family":"Al-Breiki","given":"Mohammed","non-dropping-particle":"","parse-names":false,"suffix":""},{"dropping-particle":"","family":"Bicer","given":"Yusuf","non-dropping-particle":"","parse-names":false,"suffix":""}],"container-title":"Energy Conversion and Management","id":"ITEM-6","issued":{"date-parts":[["2020","4"]]},"publisher":"Elsevier Ltd","title":"Investigating the technical feasibility of various energy carriers for alternative and sustainable overseas energy transport scenarios","type":"article-journal","volume":"209"},"uris":["http://www.mendeley.com/documents/?uuid=008c9c32-2200-4fd0-849b-e0038b1e6d3d","http://www.mendeley.com/documents/?uuid=dee8433d-39fe-3dd1-853a-17cd7beab655","http://www.mendeley.com/documents/?uuid=2dddf28a-f605-4087-9def-8d1bf78c2d08"]},{"id":"ITEM-7","itemData":{"URL":"https://www.energy.gov/eere/fuelcells/hydrogen-storage","accessed":{"date-parts":[["2021","7","15"]]},"author":[{"dropping-particle":"","family":"Office of Energy Efficiency &amp; Renewable Energy","given":"","non-dropping-particle":"","parse-names":false,"suffix":""}],"container-title":"Hydrogen and Fuel Cell Technologies Office","id":"ITEM-7","issued":{"date-parts":[["0"]]},"title":"Hydrogen Storage ","type":"webpage"},"uris":["http://www.mendeley.com/documents/?uuid=0bde899a-9622-36d1-99f6-ca1bc98ce515"]}],"mendeley":{"formattedCitation":"&lt;sup&gt;20,95–100&lt;/sup&gt;","plainTextFormattedCitation":"20,95–100","previouslyFormattedCitation":"&lt;sup&gt;20,95–100&lt;/sup&gt;"},"properties":{"noteIndex":0},"schema":"https://github.com/citation-style-language/schema/raw/master/csl-citation.json"}</w:instrText>
            </w:r>
            <w:r w:rsidRPr="00756B03">
              <w:rPr>
                <w:color w:val="auto"/>
                <w:sz w:val="18"/>
                <w:szCs w:val="18"/>
              </w:rPr>
              <w:fldChar w:fldCharType="separate"/>
            </w:r>
            <w:r w:rsidR="00C3381F" w:rsidRPr="00C3381F">
              <w:rPr>
                <w:noProof/>
                <w:color w:val="auto"/>
                <w:sz w:val="18"/>
                <w:szCs w:val="18"/>
                <w:vertAlign w:val="superscript"/>
              </w:rPr>
              <w:t>20,95–100</w:t>
            </w:r>
            <w:r w:rsidRPr="00756B03">
              <w:rPr>
                <w:color w:val="auto"/>
                <w:sz w:val="18"/>
                <w:szCs w:val="18"/>
              </w:rPr>
              <w:fldChar w:fldCharType="end"/>
            </w:r>
          </w:p>
        </w:tc>
      </w:tr>
      <w:tr w:rsidR="00C670EC" w:rsidRPr="00F81774" w14:paraId="5C76454D" w14:textId="77777777" w:rsidTr="00F94126">
        <w:trPr>
          <w:cnfStyle w:val="000000010000" w:firstRow="0" w:lastRow="0" w:firstColumn="0" w:lastColumn="0" w:oddVBand="0" w:evenVBand="0" w:oddHBand="0" w:evenHBand="1"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013" w:type="dxa"/>
          </w:tcPr>
          <w:p w14:paraId="28229CBD" w14:textId="77777777" w:rsidR="008C23DC" w:rsidRPr="00756B03" w:rsidRDefault="008C23DC" w:rsidP="0033223F">
            <w:pPr>
              <w:rPr>
                <w:color w:val="auto"/>
                <w:sz w:val="18"/>
                <w:szCs w:val="18"/>
              </w:rPr>
            </w:pPr>
            <w:r w:rsidRPr="00756B03">
              <w:rPr>
                <w:color w:val="auto"/>
                <w:sz w:val="18"/>
                <w:szCs w:val="18"/>
              </w:rPr>
              <w:t>Methane</w:t>
            </w:r>
          </w:p>
        </w:tc>
        <w:tc>
          <w:tcPr>
            <w:tcW w:w="1129" w:type="dxa"/>
          </w:tcPr>
          <w:p w14:paraId="52E3D234"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Production, Storage and Transport</w:t>
            </w:r>
          </w:p>
        </w:tc>
        <w:tc>
          <w:tcPr>
            <w:tcW w:w="1057" w:type="dxa"/>
          </w:tcPr>
          <w:p w14:paraId="0904030A"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9</w:t>
            </w:r>
          </w:p>
        </w:tc>
        <w:tc>
          <w:tcPr>
            <w:tcW w:w="1055" w:type="dxa"/>
          </w:tcPr>
          <w:p w14:paraId="79F54A8E"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0.22</w:t>
            </w:r>
          </w:p>
        </w:tc>
        <w:tc>
          <w:tcPr>
            <w:tcW w:w="850" w:type="dxa"/>
          </w:tcPr>
          <w:p w14:paraId="523A2511" w14:textId="77777777" w:rsidR="008C23DC" w:rsidRPr="00756B03" w:rsidRDefault="008C23DC" w:rsidP="0033223F">
            <w:pPr>
              <w:spacing w:before="0" w:after="120" w:line="276" w:lineRule="auto"/>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0.117</w:t>
            </w:r>
          </w:p>
        </w:tc>
        <w:tc>
          <w:tcPr>
            <w:tcW w:w="992" w:type="dxa"/>
          </w:tcPr>
          <w:p w14:paraId="1BACE434"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25.00</w:t>
            </w:r>
          </w:p>
        </w:tc>
        <w:tc>
          <w:tcPr>
            <w:tcW w:w="1134" w:type="dxa"/>
          </w:tcPr>
          <w:p w14:paraId="52BB6F5D"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52.4</w:t>
            </w:r>
          </w:p>
        </w:tc>
        <w:tc>
          <w:tcPr>
            <w:tcW w:w="1134" w:type="dxa"/>
          </w:tcPr>
          <w:p w14:paraId="7BAC1FC5"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20.6</w:t>
            </w:r>
          </w:p>
        </w:tc>
        <w:tc>
          <w:tcPr>
            <w:tcW w:w="1232" w:type="dxa"/>
          </w:tcPr>
          <w:p w14:paraId="154BB25E"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53.6</w:t>
            </w:r>
          </w:p>
        </w:tc>
        <w:tc>
          <w:tcPr>
            <w:tcW w:w="1178" w:type="dxa"/>
          </w:tcPr>
          <w:p w14:paraId="140685E9" w14:textId="495DF137" w:rsidR="008C23DC" w:rsidRPr="00756B03" w:rsidRDefault="00C33A5E"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0.205</w:t>
            </w:r>
          </w:p>
        </w:tc>
        <w:tc>
          <w:tcPr>
            <w:tcW w:w="992" w:type="dxa"/>
          </w:tcPr>
          <w:p w14:paraId="594BF33D"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0.017</w:t>
            </w:r>
          </w:p>
        </w:tc>
        <w:tc>
          <w:tcPr>
            <w:tcW w:w="1560" w:type="dxa"/>
          </w:tcPr>
          <w:p w14:paraId="51BF62D2" w14:textId="6CC6B72A" w:rsidR="008C23DC" w:rsidRPr="00756B03" w:rsidRDefault="00A624AB"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Pr>
                <w:color w:val="auto"/>
                <w:sz w:val="18"/>
                <w:szCs w:val="18"/>
              </w:rPr>
              <w:t>0.18</w:t>
            </w:r>
          </w:p>
        </w:tc>
        <w:tc>
          <w:tcPr>
            <w:tcW w:w="1559" w:type="dxa"/>
          </w:tcPr>
          <w:p w14:paraId="363EEF33"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Existing Export Industry</w:t>
            </w:r>
          </w:p>
        </w:tc>
        <w:tc>
          <w:tcPr>
            <w:tcW w:w="850" w:type="dxa"/>
          </w:tcPr>
          <w:p w14:paraId="276B5A5C" w14:textId="12292440"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fldChar w:fldCharType="begin" w:fldLock="1"/>
            </w:r>
            <w:r w:rsidR="00FF4E1A">
              <w:rPr>
                <w:color w:val="auto"/>
                <w:sz w:val="18"/>
                <w:szCs w:val="18"/>
              </w:rPr>
              <w:instrText>ADDIN CSL_CITATION {"citationItems":[{"id":"ITEM-1","itemData":{"abstract":"The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P","given":"","non-dropping-particle":"","parse-names":false,"suffix":""}],"id":"ITEM-1","issued":{"date-parts":[["2019"]]},"publisher":"CSIRO","title":"Pathways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id":"ITEM-2","itemData":{"DOI":"10.1039/c8ee02700e","ISSN":"17545706","abstract":"Long-distance transport and long-term storage of hydrogen can be realized with Liquid Organic Hydrogen Carriers (LOHC) based on a two-step cycle: (1) loading of hydrogen (hydrogenation) into the LOHC molecule (i.e., hydrogen is covalently bound to the LOHC) and (2) unloading of hydrogen (dehydrogenation) after transport and storage. Since the (optimal) LOHC is liquid at ambient conditions and shows similar properties to crude oil based liquids (e.g. diesel, and gasoline), handling and storage is realized by well-known processes; thus stepwise adaptation of the existing crude oil based infrastructure is basically possible. Against this background, a defined process chain for intercontinental ship transport of hydrogen (5000 km) is simulated with various LOHCs. The respective results are evaluated and assessed related to their technological and economic performance. Additionally, they are compared to a pipeline-based provision chain based on compressed hydrogen (CGH 2 ). Among others, the results show that methanol is the cheapest LOHC option for storage and transportation followed by dibenzyltoluene and toluene. For a storage time of 60 days they show economic advantages compared to compressed hydrogen (CGH 2 ) under the defined assumptions; thus these LOHC options are especially advantageous for long-term storage/long distance transport applications. The energetic efficiency of the systems mainly depends on the source of the dehydrogenation heat. Two options, dehydrogenation driven by hydrogen burning vs. dehydrogenation driven by waste heat, have been evaluated in this study. Systems that run on waste heat perform much better in terms of efficiency. Overall, LOHCs can provide technologically efficient and economic promising storage and transport within a sustainable hydrogen economy.","author":[{"dropping-particle":"","family":"Niermann","given":"M.","non-dropping-particle":"","parse-names":false,"suffix":""},{"dropping-particle":"","family":"Drünert","given":"S.","non-dropping-particle":"","parse-names":false,"suffix":""},{"dropping-particle":"","family":"Kaltschmitt","given":"M.","non-dropping-particle":"","parse-names":false,"suffix":""},{"dropping-particle":"","family":"Bonhoff","given":"K.","non-dropping-particle":"","parse-names":false,"suffix":""}],"container-title":"Energy and Environmental Science","id":"ITEM-2","issue":"1","issued":{"date-parts":[["2019","1"]]},"page":"290-307","publisher":"Royal Society of Chemistry","title":"Liquid organic hydrogen carriers (LOHCs)-techno-economic analysis of LOHCs in a defined process chain","type":"article-journal","volume":"12"},"uris":["http://www.mendeley.com/documents/?uuid=d0d97185-3037-4a76-a648-6faf44538922","http://www.mendeley.com/documents/?uuid=9acb6151-6d46-4632-b39f-b9986df5f9f1","http://www.mendeley.com/documents/?uuid=c5187127-45e8-39dc-a233-97245c79b3b1","http://www.mendeley.com/documents/?uuid=ffc631b7-9d82-486f-830a-277eb4deca38","http://www.mendeley.com/documents/?uuid=57ce42ba-f060-4057-875f-2722e0338379"]},{"id":"ITEM-3","itemData":{"DOI":"10.1016/j.cej.2018.10.170","ISSN":"13858947","abstract":"Renewable energy sources (RES) are growing rapidly as an alternative to fossil energy sources in order to disjoin the society from carbon sources. Wind and photovoltaic power generation is intermittent due to weather conditions. Therefore, remarkable centrality is given to the storage of the electric excess of production, and Power-to-Gas (P2G) systems seem to be one of the most promising technologies to achieve this purpose. In the case analysed in this research, a high temperature electrolyser based on solid oxide cells technology was considered, coupled to catalytic reactors for the hydrogenation of carbon dioxide into methane. The product is a synthetic natural gas (SNG) which could by directly injected into the natural gas distribution network. This work investigates the coupling between a completely RES-based electric profile in a future scenario and a P2G plant to perform a comprehensive technical, managemental and economic assessment of the system. A P2G model was built on MATLAB environment to examine the P2G plant behaviour when it was coupled with the RES-based intermittent electric profile. Firstly, the P2G plant arrangement has been discussed by varying the P2G plant capacity which has been coupled to the electric profile; the P2G capacity was then selected based on the levelized cost of product (LCOP). Secondly, the electrochemical storage has been introduced to perform a continuing operation also when excess of electricity is not available, thanks to the storage of electric energy. Finally, chemical storage tanks of hydrogen (feed for the methanation) and steam (feed for the electrolyser) were considered to reduce the number of shutdowns of the P2G plant. An assessment of the long-term gas storage in the gas distribution network was additionally performed. An optimal plant capacity with respect to the investigated scenario of local electric residual profile was sized, being equal to 7 MW, with a recovery equal to 70% of the total available electric energy from the grid. Moreover, the P2G system could be economically competitive, because the LCOP varies between 60.2 €/MWh and 224.9 €/MWh (LHV basis), which suits with current levelized natural gas prices. The overall efficiency of the plant reached around 77%, with a plant utilization factor of about 30%. The accumulators and the electrolyser are the most expensive technologies, and the LCOP strongly depends on their size (if the batteries are considered). For this scenario, the SNG yearly …","author":[{"dropping-particle":"","family":"Salomone","given":"Fabio","non-dropping-particle":"","parse-names":false,"suffix":""},{"dropping-particle":"","family":"Giglio","given":"Emanuele","non-dropping-particle":"","parse-names":false,"suffix":""},{"dropping-particle":"","family":"Ferrero","given":"Domenico","non-dropping-particle":"","parse-names":false,"suffix":""},{"dropping-particle":"","family":"Santarelli","given":"Massimo","non-dropping-particle":"","parse-names":false,"suffix":""},{"dropping-particle":"","family":"Pirone","given":"Raffaele","non-dropping-particle":"","parse-names":false,"suffix":""},{"dropping-particle":"","family":"Bensaid","given":"Samir","non-dropping-particle":"","parse-names":false,"suffix":""}],"container-title":"Chemical Engineering Journal","id":"ITEM-3","issued":{"date-parts":[["2019","12"]]},"page":"120233","publisher":"Elsevier B.V.","title":"Techno-economic modelling of a Power-to-Gas system based on SOEC electrolysis and CO2 methanation in a RES-based electric grid","type":"article-journal","volume":"377"},"uris":["http://www.mendeley.com/documents/?uuid=83fe6b07-9e99-416f-bc63-5ce2add2e539","http://www.mendeley.com/documents/?uuid=6c245b24-81d4-379c-8d9f-eaf6023555a1","http://www.mendeley.com/documents/?uuid=3d0a829e-0a92-4567-b44b-79b7ae3dc9eb"]},{"id":"ITEM-4","itemData":{"DOI":"10.1016/j.enconman.2017.12.063","ISSN":"01968904","abstract":"This study is a comparative analysis of hydrogen production costs in current and potential future market environments. The economic feasibility of hydrogen production by thermal decomposition of methane was compared to two other technologies, namely steam methane reforming and water electrolysis. According to the results, thermal decomposition of methane would be most suited for on-site demand-driven hydrogen production in small or medium industrial scale. Hydrogen production by thermal decomposition of methane would be economically competitive with steam reforming with a product carbon value of at least 280–310 EUR/tonne. By contrast, the main benefit of thermal decomposition of methane in comparison with water electrolysis is the feedstock availability via the current natural gas infrastructure, whereas electrolysis is highly dependent on the cost and availability of renewable electricity. The major factors affecting the economic feasibility were identified as product carbon value in thermal decomposition of methane, natural gas cost in steam reforming, and electricity cost in electrolysis. Thus, the effect of these variables on the hydrogen production costs was analyzed. Additionally, the specific carbon dioxide emissions in hydrogen production by thermal decomposition of methane (40 kgCO2/MWhH2) were found to be much less that by steam reforming coupled with carbon dioxide capture from the syngas (133 kgCO2/MWhH2).","author":[{"dropping-particle":"","family":"Keipi","given":"Tiina","non-dropping-particle":"","parse-names":false,"suffix":""},{"dropping-particle":"","family":"Tolvanen","given":"Henrik","non-dropping-particle":"","parse-names":false,"suffix":""},{"dropping-particle":"","family":"Konttinen","given":"Jukka","non-dropping-particle":"","parse-names":false,"suffix":""}],"container-title":"Energy Conversion and Management","id":"ITEM-4","issued":{"date-parts":[["2018","3"]]},"page":"264-273","publisher":"Elsevier Ltd","title":"Economic analysis of hydrogen production by methane thermal decomposition: Comparison to competing technologies","type":"article-journal","volume":"159"},"uris":["http://www.mendeley.com/documents/?uuid=af2f1f1b-72fb-40db-a048-9dff2772d5c7","http://www.mendeley.com/documents/?uuid=8a9f608e-4043-31e4-8702-818f9bf65a2f","http://www.mendeley.com/documents/?uuid=a948d84c-15ef-4ec5-bd45-7873194a2cf3","http://www.mendeley.com/documents/?uuid=e2708390-51ec-4774-bf6e-18676685bb5f"]},{"id":"ITEM-5","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Energy","id":"ITEM-5","issue":"58","issued":{"date-parts":[["2020","11"]]},"page":"32865-32883","publisher":"Elsevier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25c129ea-f0fe-4aaa-9bba-df9ca76f0962","http://www.mendeley.com/documents/?uuid=7915753b-82cf-35a2-b231-64db04f005f9","http://www.mendeley.com/documents/?uuid=4781c8d8-079b-4edd-bf25-82d022326474"]},{"id":"ITEM-6","itemData":{"DOI":"10.1016/j.egyr.2020.07.013","ISSN":"23524847","abstract":"As a result of particular locations of large-scale energy producers and increases in energy demand, transporting energy has become one of the key challenges of energy supply. For a long-distance ocean transportation, transfer of energy carriers via ocean tankers is considered as a decent solution compared to pipelines. Due to cryogenic temperatures of energy carriers, heat leaks into storage tanks of these carriers causes a problem called boil-off gas (BOG). BOG losses reduce the quantity of energy carriers, which affects their economic value. Therefore, this study proposes to examine the effects of BOG economically in production and transportation phases of potential energy carriers produced from natural gas, namely; liquefied natural gas (LNG), dimethyl-ether (DME), methanol, liquid ammonia (NH3), and liquid hydrogen (H2). Mathematical approach is used to calculate production and transportation costs of these energy carriers and to account for BOG as a unit cost within the total cost. The results of this study show that transportation costs of LNG, liquid ammonia, methanol, DME, and liquid hydrogen from natural gas accounting for BOG are 0.74 $/GJ, 1.09 $/GJ, 0.68 $/GJ, 0.53 $/GJ, and 3.24 $/GJ, respectively. DME and methanol can be more economic compared to LNG to transport the energy of natural gas for the same ship capacity. Including social cost of carbon (SCC) within the total cost of transporting the energy of natural gas, the transportation cost of liquid ammonia is 1.11 $/GJ, whereas LNG transportation cost rises significantly to 1.68 $/GJ at SCC of 137 $/t CO2 eq. Consequently, liquid ammonia becomes economically favored compared to LNG. Transportation cost of methanol (0.70 $/GJ) and DME (0.55 $/GJ) are also lower than LNG, however, liquid hydrogen transportation cost (3.24 $/GJ) is still the highest even though the increment of the cost is about 0.1% as SCC included within the transportation cost.","author":[{"dropping-particle":"","family":"Al-Breiki","given":"Mohammed","non-dropping-particle":"","parse-names":false,"suffix":""},{"dropping-particle":"","family":"Bicer","given":"Yusuf","non-dropping-particle":"","parse-names":false,"suffix":""}],"container-title":"Energy Reports","id":"ITEM-6","issued":{"date-parts":[["2020","11"]]},"page":"1897-1909","publisher":"Elsevier Ltd","title":"Comparative cost assessment of sustainable energy carriers produced from natural gas accounting for boil-off gas and social cost of carbon","type":"article-journal","volume":"6"},"uris":["http://www.mendeley.com/documents/?uuid=efdb4c2d-169f-4e97-9025-7eb0d85d85c5","http://www.mendeley.com/documents/?uuid=3bcc8aaf-aa35-4ece-b242-0748180bf679","http://www.mendeley.com/documents/?uuid=2dea04df-9991-387b-a17e-2d81de1d8f50","http://www.mendeley.com/documents/?uuid=00668621-7819-40c7-838d-9d0bc8e62a25","http://www.mendeley.com/documents/?uuid=39b4d701-e4d1-4b78-8a17-f51871487373"]},{"id":"ITEM-7","itemData":{"DOI":"10.1021/ie801975q","ISSN":"08885885","abstract":"Natural gas (NG) is the cleanest fossil fuel, which is most popular and economical after crude oil. Liquefied natural gas (LNG) is the most economical way of transporting NG over long distances. Because of LNG transportation and storage at -163 C, boil-off losses are an unavoidable reality. While these are significant, few systematic studies on boil-off exist in the literature. In this work, we perform rigorous, realistic, detailed, and extensive dynamic simulation of boil-off during various steps of LNG transportation, study the effects of various factors such as nitrogen content, tank pressure, ambient temperature, voyage length, etc., and analyze the results. On the basis of our simulations, we determine optimal heels for several scenarios of lean LNG transportation. Our analysis shows that heel can be reduced by up to 40% for a typical long voyage of 20 days, compared to the usual industrial practice of 5% of the cargo, and the reduction is significantly more for the shorter voyages. Our computations suggest savings of millions of dollars from heel optimization alone in LNG transportation. © 2009 American Chemical Society.","author":[{"dropping-particle":"","family":"Hasan","given":"M. M.Faruque","non-dropping-particle":"","parse-names":false,"suffix":""},{"dropping-particle":"","family":"Zheng","given":"Alfred Minghan","non-dropping-particle":"","parse-names":false,"suffix":""},{"dropping-particle":"","family":"Karimi","given":"I. A.","non-dropping-particle":"","parse-names":false,"suffix":""}],"container-title":"Industrial and Engineering Chemistry Research","id":"ITEM-7","issue":"21","issued":{"date-parts":[["2009"]]},"page":"9571-9580","publisher":" American Chemical Society","title":"Minimizing boil-off losses in liquefied natural gas transportation","type":"article-journal","volume":"48"},"uris":["http://www.mendeley.com/documents/?uuid=8edb8828-99e9-382c-a958-6c85e151ed87","http://www.mendeley.com/documents/?uuid=adc5055d-8581-4dcd-b7b2-cbad3298c1b6","http://www.mendeley.com/documents/?uuid=1a97c29f-557c-4ce3-9f03-e3c26c2340ce"]},{"id":"ITEM-8","itemData":{"DOI":"10.1016/j.enconman.2020.112652","ISSN":"01968904","abstract":"The technological barriers against energy transport includes low energy density, intermittent supply and immobility of the energy sources. A potential and sustainable solution to overcome these barriers is to use an effective and efficient energy carrier which can store, transport and distribute energy in a technically feasible manner. Therefore, this study presents five potential energy carriers for overseas energy transport; liquifed natural gas (LNG), dimethyl ether (DME), liquid ammonia, methanol and liquid hydrogen which are used to carry the energy of natural gas in liquefied form from a supplied region to a demanded region. During the supply chain of the energy carriers, the amount of boil-off gas (BOG) for each energy carrier is calculated. A sensitivity analysis affecting BOG rates is implemented under variety of parameters, namely; ambient temperature, storage pressure, land storage time, ocean transportation time, heel percentage and pumping time. This study shows that the daily BOG rates for LNG, DME, ammonia, methanol, and hydrogen are calculated as 0.471%, 0.159%, 0.129%, 0.049%, and 3.438%, respectively. Methanol delivers the greatest mass, DME delivers the greatest energy and hydrogen loses the greatest mass as BOG during the supply chain. The highest BOG generation mainly occurs during ocean transportation phase, implying that ocean transportation time is the most critical parameter among the studied parameters.","author":[{"dropping-particle":"","family":"Al-Breiki","given":"Mohammed","non-dropping-particle":"","parse-names":false,"suffix":""},{"dropping-particle":"","family":"Bicer","given":"Yusuf","non-dropping-particle":"","parse-names":false,"suffix":""}],"container-title":"Energy Conversion and Management","id":"ITEM-8","issued":{"date-parts":[["2020","4"]]},"publisher":"Elsevier Ltd","title":"Investigating the technical feasibility of various energy carriers for alternative and sustainable overseas energy transport scenarios","type":"article-journal","volume":"209"},"uris":["http://www.mendeley.com/documents/?uuid=008c9c32-2200-4fd0-849b-e0038b1e6d3d","http://www.mendeley.com/documents/?uuid=2dddf28a-f605-4087-9def-8d1bf78c2d08","http://www.mendeley.com/documents/?uuid=dee8433d-39fe-3dd1-853a-17cd7beab655"]}],"mendeley":{"formattedCitation":"&lt;sup&gt;93,95–98,101–103&lt;/sup&gt;","plainTextFormattedCitation":"93,95–98,101–103","previouslyFormattedCitation":"&lt;sup&gt;93,95–98,101–103&lt;/sup&gt;"},"properties":{"noteIndex":0},"schema":"https://github.com/citation-style-language/schema/raw/master/csl-citation.json"}</w:instrText>
            </w:r>
            <w:r w:rsidRPr="00756B03">
              <w:rPr>
                <w:color w:val="auto"/>
                <w:sz w:val="18"/>
                <w:szCs w:val="18"/>
              </w:rPr>
              <w:fldChar w:fldCharType="separate"/>
            </w:r>
            <w:r w:rsidR="00BD7196" w:rsidRPr="00BD7196">
              <w:rPr>
                <w:noProof/>
                <w:color w:val="auto"/>
                <w:sz w:val="18"/>
                <w:szCs w:val="18"/>
                <w:vertAlign w:val="superscript"/>
              </w:rPr>
              <w:t>93,95–98,101–103</w:t>
            </w:r>
            <w:r w:rsidRPr="00756B03">
              <w:rPr>
                <w:color w:val="auto"/>
                <w:sz w:val="18"/>
                <w:szCs w:val="18"/>
              </w:rPr>
              <w:fldChar w:fldCharType="end"/>
            </w:r>
            <w:r w:rsidR="00437537" w:rsidRPr="00437537">
              <w:rPr>
                <w:color w:val="auto"/>
                <w:szCs w:val="18"/>
                <w:vertAlign w:val="superscript"/>
              </w:rPr>
              <w:t>,</w:t>
            </w:r>
            <w:r w:rsidR="00437537" w:rsidRPr="007D4685">
              <w:rPr>
                <w:noProof/>
                <w:color w:val="auto"/>
                <w:sz w:val="18"/>
                <w:szCs w:val="18"/>
                <w:vertAlign w:val="superscript"/>
              </w:rPr>
              <w:t>101</w:t>
            </w:r>
          </w:p>
        </w:tc>
      </w:tr>
      <w:tr w:rsidR="00C670EC" w:rsidRPr="00F81774" w14:paraId="37629C65" w14:textId="77777777" w:rsidTr="00F94126">
        <w:trPr>
          <w:trHeight w:val="1087"/>
        </w:trPr>
        <w:tc>
          <w:tcPr>
            <w:cnfStyle w:val="001000000000" w:firstRow="0" w:lastRow="0" w:firstColumn="1" w:lastColumn="0" w:oddVBand="0" w:evenVBand="0" w:oddHBand="0" w:evenHBand="0" w:firstRowFirstColumn="0" w:firstRowLastColumn="0" w:lastRowFirstColumn="0" w:lastRowLastColumn="0"/>
            <w:tcW w:w="1013" w:type="dxa"/>
          </w:tcPr>
          <w:p w14:paraId="404D788F" w14:textId="77777777" w:rsidR="008C23DC" w:rsidRPr="00756B03" w:rsidRDefault="008C23DC" w:rsidP="0033223F">
            <w:pPr>
              <w:rPr>
                <w:color w:val="auto"/>
                <w:sz w:val="18"/>
                <w:szCs w:val="18"/>
              </w:rPr>
            </w:pPr>
            <w:r w:rsidRPr="00756B03">
              <w:rPr>
                <w:color w:val="auto"/>
                <w:sz w:val="18"/>
                <w:szCs w:val="18"/>
              </w:rPr>
              <w:t>Methanol</w:t>
            </w:r>
          </w:p>
        </w:tc>
        <w:tc>
          <w:tcPr>
            <w:tcW w:w="1129" w:type="dxa"/>
          </w:tcPr>
          <w:p w14:paraId="7716DAC4"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Production, Storage and Transport</w:t>
            </w:r>
          </w:p>
        </w:tc>
        <w:tc>
          <w:tcPr>
            <w:tcW w:w="1057" w:type="dxa"/>
          </w:tcPr>
          <w:p w14:paraId="42D382B8"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8</w:t>
            </w:r>
          </w:p>
        </w:tc>
        <w:tc>
          <w:tcPr>
            <w:tcW w:w="1055" w:type="dxa"/>
          </w:tcPr>
          <w:p w14:paraId="474AADE0"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0.843</w:t>
            </w:r>
          </w:p>
        </w:tc>
        <w:tc>
          <w:tcPr>
            <w:tcW w:w="850" w:type="dxa"/>
          </w:tcPr>
          <w:p w14:paraId="16FD4CD5"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0.367</w:t>
            </w:r>
          </w:p>
        </w:tc>
        <w:tc>
          <w:tcPr>
            <w:tcW w:w="992" w:type="dxa"/>
          </w:tcPr>
          <w:p w14:paraId="0E7954C8"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12.50</w:t>
            </w:r>
          </w:p>
        </w:tc>
        <w:tc>
          <w:tcPr>
            <w:tcW w:w="1134" w:type="dxa"/>
          </w:tcPr>
          <w:p w14:paraId="5FB6487B"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68.1</w:t>
            </w:r>
          </w:p>
        </w:tc>
        <w:tc>
          <w:tcPr>
            <w:tcW w:w="1134" w:type="dxa"/>
          </w:tcPr>
          <w:p w14:paraId="6F078FFD"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16.0</w:t>
            </w:r>
          </w:p>
        </w:tc>
        <w:tc>
          <w:tcPr>
            <w:tcW w:w="1232" w:type="dxa"/>
          </w:tcPr>
          <w:p w14:paraId="102BE00A"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20</w:t>
            </w:r>
          </w:p>
        </w:tc>
        <w:tc>
          <w:tcPr>
            <w:tcW w:w="1178" w:type="dxa"/>
            <w:shd w:val="clear" w:color="auto" w:fill="auto"/>
          </w:tcPr>
          <w:p w14:paraId="7E3E8E4F" w14:textId="2A77250D" w:rsidR="008C23DC" w:rsidRPr="00756B03" w:rsidRDefault="00C33A5E"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0.073</w:t>
            </w:r>
          </w:p>
        </w:tc>
        <w:tc>
          <w:tcPr>
            <w:tcW w:w="992" w:type="dxa"/>
          </w:tcPr>
          <w:p w14:paraId="40E6731F"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0.0016</w:t>
            </w:r>
          </w:p>
        </w:tc>
        <w:tc>
          <w:tcPr>
            <w:tcW w:w="1560" w:type="dxa"/>
          </w:tcPr>
          <w:p w14:paraId="63DB4101" w14:textId="6521FE32" w:rsidR="008C23DC" w:rsidRPr="00756B03" w:rsidRDefault="000B38B8"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0.25</w:t>
            </w:r>
          </w:p>
        </w:tc>
        <w:tc>
          <w:tcPr>
            <w:tcW w:w="1559" w:type="dxa"/>
          </w:tcPr>
          <w:p w14:paraId="6D59ADE9" w14:textId="77777777"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t>Existing Export Industry, however, at smaller-scale with less developed production technology</w:t>
            </w:r>
          </w:p>
        </w:tc>
        <w:tc>
          <w:tcPr>
            <w:tcW w:w="850" w:type="dxa"/>
          </w:tcPr>
          <w:p w14:paraId="2471A8BA" w14:textId="257A9B70" w:rsidR="008C23DC" w:rsidRPr="00756B03" w:rsidRDefault="008C23DC" w:rsidP="0033223F">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756B03">
              <w:rPr>
                <w:color w:val="auto"/>
                <w:sz w:val="18"/>
                <w:szCs w:val="18"/>
              </w:rPr>
              <w:fldChar w:fldCharType="begin" w:fldLock="1"/>
            </w:r>
            <w:r w:rsidR="00FF4E1A">
              <w:rPr>
                <w:color w:val="auto"/>
                <w:sz w:val="18"/>
                <w:szCs w:val="18"/>
              </w:rPr>
              <w:instrText>ADDIN CSL_CITATION {"citationItems":[{"id":"ITEM-1","itemData":{"abstract":"The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P","given":"","non-dropping-particle":"","parse-names":false,"suffix":""}],"id":"ITEM-1","issued":{"date-parts":[["2019"]]},"publisher":"CSIRO","title":"Pathways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id":"ITEM-2","itemData":{"DOI":"https://doi.org/10.1016/j.rser.2018.01.007","ISSN":"1364-0321","abstract":"In addition to carbon capture and storage, efforts are also being focussed on using captured CO2, both directly as a working fluid and in chemical conversion processes, as a key strategy for mitigating climate change and achieving resource efficiency. These processes require large amounts of energy, which should come from sustainable and, ideally, renewable sources. A strong value chain is required to support the production of valuable products from CO2. A value chain is a network of technologies and infrastructures (such as conversion, transportation, storage) along with its associated activities (such as sourcing raw materials, processing, logistics, inventory management, waste management) required to convert low-value resources to high-value products and energy services, and deliver them to customers. A CO2 value chain involves production of CO2 (involving capture and purification), technologies that convert CO2 and other materials into valuable products, sourcing of low-carbon energy to drive all of the transformation processes required to convert CO2 to products (including production of hydrogen, syngas, methane etc.), transport of energy and materials to where they are needed, managing inventory levels of resources, and delivering the products to customers, all in order to create value (economic, environmental, social etc.). Technologies underpinning future CO2 value chains were examined. CO2 conversion technologies, such as urea production, Sabatier synthesis, Fischer-Tropsch synthesis, hydrogenation to methanol, dry reforming, hydrogenation to formic acid and electrochemical reduction, were assessed and compared based on key performance indicators such as: CAPEX, OPEX, electricity consumption, TRL, product price, net CO2 consumption etc. Technologies for transport and storage of key resources are also discussed. This work lays the foundation for a comprehensive whole-system value chain analysis, modelling and optimisation.","author":[{"dropping-particle":"","family":"Jarvis","given":"Sean M","non-dropping-particle":"","parse-names":false,"suffix":""},{"dropping-particle":"","family":"Samsatli","given":"Sheila","non-dropping-particle":"","parse-names":false,"suffix":""}],"container-title":"Renewable and Sustainable Energy Reviews","id":"ITEM-2","issued":{"date-parts":[["2018"]]},"page":"46-68","title":"Technologies and infrastructures underpinning future CO2 value chains: A comprehensive review and comparative analysis","type":"article-journal","volume":"85"},"uris":["http://www.mendeley.com/documents/?uuid=5b5daf82-82df-47fe-82a2-a3569e6589a2","http://www.mendeley.com/documents/?uuid=cbc3aa1d-2e2b-4de3-9dd8-d23c22f6bebb","http://www.mendeley.com/documents/?uuid=2916eab1-6fa3-490e-9d49-18d3e9845ed8"]},{"id":"ITEM-3","itemData":{"DOI":"10.1016/j.jcou.2017.07.001","abstract":"This paper aims to present a feasibility study of the innovative plant for methanol synthesis from carbon dioxide-sequestered by fossil fuel power plant and hydrogen, which is produced by water electrolyzer employing the overproduction on the electrical grid. The thermo-economic analysis is performed in the framework of the MefCO 2 H2020 EU project and it is referred to the German economic scenario, properly taking into account the real market costs and cost functions for different components of the plant. Three different plant capacities for methanol production (4000 10,000 and 50,000 ton/year) have been investigated, assuming an average cost for electrical energy to feed electrolysers and analyzing the influence of the most significant parameters (oxygen selling option, methanol selling price and electrolysers' capital cost) on the profitability of the plant. The analysis has been performed in W-ECoMP, software for the thermo-economic analysis and plant optimization developed by the University of Genoa.","author":[{"dropping-particle":"","family":"Bellotti","given":"D","non-dropping-particle":"","parse-names":false,"suffix":""},{"dropping-particle":"","family":"Rivarolo","given":"M","non-dropping-particle":"","parse-names":false,"suffix":""},{"dropping-particle":"","family":"Magistri","given":"L","non-dropping-particle":"","parse-names":false,"suffix":""},{"dropping-particle":"","family":"Massardo","given":"A F","non-dropping-particle":"","parse-names":false,"suffix":""}],"id":"ITEM-3","issued":{"date-parts":[["2017"]]},"title":"Feasibility study of methanol production plant from hydrogen and captured carbon dioxide","type":"article-journal"},"uris":["http://www.mendeley.com/documents/?uuid=371d3d04-f38f-3503-8ec9-390ae153682e","http://www.mendeley.com/documents/?uuid=1abc4ed5-b7c4-432b-bd09-f9971af0d48d","http://www.mendeley.com/documents/?uuid=cb6d489b-8391-40fb-9119-9980fb648982"]},{"id":"ITEM-4","itemData":{"DOI":"10.1016/j.jcou.2020.101280","ISSN":"22129820","abstract":"The development of renewable energy makes it possible to produce abundant hydrogen as the energy carrier. For reducing the hydrogen storage and transportation cost, methanol synthesis via reverse water gas shift (RWGS) reaction can provide significant environmental benefits through a carbon capture and utilization pathway. There have been researches in the past to determine the most effective catalysts and related technologies in process development. However, a remaining question has been whether it should be run at a temperature above 900 flC where problematic by-products and coke might be an issue, or below 500 flC where it is not kinetically favored, but heavy catalyst use could compensate. This paper investigated the tradeoff between running the RWGS process at the higher or the lower temperature range as part of a methanol (MeOH) production plant. The plant had a basis of 80 kmol/hour of methanol product. A process flowsheet for each route was developed and optimized using ASPEN Plus as well as heat integration methods. The carbon footprint was then calculated to assess the environmental performances of both processes. Finally, an economic analysis was conducted to assess the overall feasibility for implementing either process. It was found that while running the process at a lower temperature of 450 flC requires a lower energy consumption, however it comes with a higher cost due to the heavy reliance on the catalytic reaction. The higher temperature reaction running at 940 flC performed similarly to the lower temperature reaction but with a better environmental performance and lower cost of production. Moreover, using a higher production capacity for the plant proved a higher promise of eliminating economic issues due to economies of scale.","author":[{"dropping-particle":"","family":"Elsernagawy","given":"Omar Y.H.","non-dropping-particle":"","parse-names":false,"suffix":""},{"dropping-particle":"","family":"Hoadley","given":"Andrew","non-dropping-particle":"","parse-names":false,"suffix":""},{"dropping-particle":"","family":"Patel","given":"Jim","non-dropping-particle":"","parse-names":false,"suffix":""},{"dropping-particle":"","family":"Bhatelia","given":"Tejas","non-dropping-particle":"","parse-names":false,"suffix":""},{"dropping-particle":"","family":"Lim","given":"Seng","non-dropping-particle":"","parse-names":false,"suffix":""},{"dropping-particle":"","family":"Haque","given":"Nawshad","non-dropping-particle":"","parse-names":false,"suffix":""},{"dropping-particle":"","family":"Li","given":"Chao'en","non-dropping-particle":"","parse-names":false,"suffix":""}],"container-title":"Journal of CO2 Utilization","id":"ITEM-4","issued":{"date-parts":[["2020","10"]]},"publisher":"Elsevier Ltd","title":"Thermo-economic analysis of reverse water-gas shift process with different temperatures for green methanol production as a hydrogen carrier","type":"article-journal","volume":"41"},"uris":["http://www.mendeley.com/documents/?uuid=76e6704b-7773-4fae-ba5f-40616f867767","http://www.mendeley.com/documents/?uuid=03aa49a4-1d01-31b6-8550-03a3ba187de5","http://www.mendeley.com/documents/?uuid=1d458d98-4009-4753-bdc9-695727bbd430"]},{"id":"ITEM-5","itemData":{"DOI":"10.1016/j.egyr.2020.07.013","ISSN":"23524847","abstract":"As a result of particular locations of large-scale energy producers and increases in energy demand, transporting energy has become one of the key challenges of energy supply. For a long-distance ocean transportation, transfer of energy carriers via ocean tankers is considered as a decent solution compared to pipelines. Due to cryogenic temperatures of energy carriers, heat leaks into storage tanks of these carriers causes a problem called boil-off gas (BOG). BOG losses reduce the quantity of energy carriers, which affects their economic value. Therefore, this study proposes to examine the effects of BOG economically in production and transportation phases of potential energy carriers produced from natural gas, namely; liquefied natural gas (LNG), dimethyl-ether (DME), methanol, liquid ammonia (NH3), and liquid hydrogen (H2). Mathematical approach is used to calculate production and transportation costs of these energy carriers and to account for BOG as a unit cost within the total cost. The results of this study show that transportation costs of LNG, liquid ammonia, methanol, DME, and liquid hydrogen from natural gas accounting for BOG are 0.74 $/GJ, 1.09 $/GJ, 0.68 $/GJ, 0.53 $/GJ, and 3.24 $/GJ, respectively. DME and methanol can be more economic compared to LNG to transport the energy of natural gas for the same ship capacity. Including social cost of carbon (SCC) within the total cost of transporting the energy of natural gas, the transportation cost of liquid ammonia is 1.11 $/GJ, whereas LNG transportation cost rises significantly to 1.68 $/GJ at SCC of 137 $/t CO2 eq. Consequently, liquid ammonia becomes economically favored compared to LNG. Transportation cost of methanol (0.70 $/GJ) and DME (0.55 $/GJ) are also lower than LNG, however, liquid hydrogen transportation cost (3.24 $/GJ) is still the highest even though the increment of the cost is about 0.1% as SCC included within the transportation cost.","author":[{"dropping-particle":"","family":"Al-Breiki","given":"Mohammed","non-dropping-particle":"","parse-names":false,"suffix":""},{"dropping-particle":"","family":"Bicer","given":"Yusuf","non-dropping-particle":"","parse-names":false,"suffix":""}],"container-title":"Energy Reports","id":"ITEM-5","issued":{"date-parts":[["2020","11"]]},"page":"1897-1909","publisher":"Elsevier Ltd","title":"Comparative cost assessment of sustainable energy carriers produced from natural gas accounting for boil-off gas and social cost of carbon","type":"article-journal","volume":"6"},"uris":["http://www.mendeley.com/documents/?uuid=efdb4c2d-169f-4e97-9025-7eb0d85d85c5","http://www.mendeley.com/documents/?uuid=3bcc8aaf-aa35-4ece-b242-0748180bf679","http://www.mendeley.com/documents/?uuid=2dea04df-9991-387b-a17e-2d81de1d8f50","http://www.mendeley.com/documents/?uuid=a1ab9f85-d21e-41b3-a2be-436cb9fd2b96"]},{"id":"ITEM-6","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Energy","id":"ITEM-6","issue":"58","issued":{"date-parts":[["2020","11"]]},"page":"32865-32883","publisher":"Elsevier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25c129ea-f0fe-4aaa-9bba-df9ca76f0962","http://www.mendeley.com/documents/?uuid=7915753b-82cf-35a2-b231-64db04f005f9","http://www.mendeley.com/documents/?uuid=f860bb4b-c037-421d-8035-fa275d53fcba","http://www.mendeley.com/documents/?uuid=5e6d0bae-3621-4e08-ad15-105d39f6ea0f"]},{"id":"ITEM-7","itemData":{"DOI":"10.1039/c8ee02700e","ISSN":"17545706","abstract":"Long-distance transport and long-term storage of hydrogen can be realized with Liquid Organic Hydrogen Carriers (LOHC) based on a two-step cycle: (1) loading of hydrogen (hydrogenation) into the LOHC molecule (i.e., hydrogen is covalently bound to the LOHC) and (2) unloading of hydrogen (dehydrogenation) after transport and storage. Since the (optimal) LOHC is liquid at ambient conditions and shows similar properties to crude oil based liquids (e.g. diesel, and gasoline), handling and storage is realized by well-known processes; thus stepwise adaptation of the existing crude oil based infrastructure is basically possible. Against this background, a defined process chain for intercontinental ship transport of hydrogen (5000 km) is simulated with various LOHCs. The respective results are evaluated and assessed related to their technological and economic performance. Additionally, they are compared to a pipeline-based provision chain based on compressed hydrogen (CGH 2 ). Among others, the results show that methanol is the cheapest LOHC option for storage and transportation followed by dibenzyltoluene and toluene. For a storage time of 60 days they show economic advantages compared to compressed hydrogen (CGH 2 ) under the defined assumptions; thus these LOHC options are especially advantageous for long-term storage/long distance transport applications. The energetic efficiency of the systems mainly depends on the source of the dehydrogenation heat. Two options, dehydrogenation driven by hydrogen burning vs. dehydrogenation driven by waste heat, have been evaluated in this study. Systems that run on waste heat perform much better in terms of efficiency. Overall, LOHCs can provide technologically efficient and economic promising storage and transport within a sustainable hydrogen economy.","author":[{"dropping-particle":"","family":"Niermann","given":"M.","non-dropping-particle":"","parse-names":false,"suffix":""},{"dropping-particle":"","family":"Drünert","given":"S.","non-dropping-particle":"","parse-names":false,"suffix":""},{"dropping-particle":"","family":"Kaltschmitt","given":"M.","non-dropping-particle":"","parse-names":false,"suffix":""},{"dropping-particle":"","family":"Bonhoff","given":"K.","non-dropping-particle":"","parse-names":false,"suffix":""}],"container-title":"Energy and Environmental Science","id":"ITEM-7","issue":"1","issued":{"date-parts":[["2019","1"]]},"page":"290-307","publisher":"Royal Society of Chemistry","title":"Liquid organic hydrogen carriers (LOHCs)-techno-economic analysis of LOHCs in a defined process chain","type":"article-journal","volume":"12"},"uris":["http://www.mendeley.com/documents/?uuid=d0d97185-3037-4a76-a648-6faf44538922","http://www.mendeley.com/documents/?uuid=9acb6151-6d46-4632-b39f-b9986df5f9f1","http://www.mendeley.com/documents/?uuid=c5187127-45e8-39dc-a233-97245c79b3b1","http://www.mendeley.com/documents/?uuid=8f5d1199-18b8-4666-85bd-7d5260a0edd6","http://www.mendeley.com/documents/?uuid=c4d8aa09-3d73-4b3e-a302-abf1a54bfd85"]},{"id":"ITEM-8","itemData":{"DOI":"10.1016/j.enconman.2020.112652","ISSN":"01968904","abstract":"The technological barriers against energy transport includes low energy density, intermittent supply and immobility of the energy sources. A potential and sustainable solution to overcome these barriers is to use an effective and efficient energy carrier which can store, transport and distribute energy in a technically feasible manner. Therefore, this study presents five potential energy carriers for overseas energy transport; liquifed natural gas (LNG), dimethyl ether (DME), liquid ammonia, methanol and liquid hydrogen which are used to carry the energy of natural gas in liquefied form from a supplied region to a demanded region. During the supply chain of the energy carriers, the amount of boil-off gas (BOG) for each energy carrier is calculated. A sensitivity analysis affecting BOG rates is implemented under variety of parameters, namely; ambient temperature, storage pressure, land storage time, ocean transportation time, heel percentage and pumping time. This study shows that the daily BOG rates for LNG, DME, ammonia, methanol, and hydrogen are calculated as 0.471%, 0.159%, 0.129%, 0.049%, and 3.438%, respectively. Methanol delivers the greatest mass, DME delivers the greatest energy and hydrogen loses the greatest mass as BOG during the supply chain. The highest BOG generation mainly occurs during ocean transportation phase, implying that ocean transportation time is the most critical parameter among the studied parameters.","author":[{"dropping-particle":"","family":"Al-Breiki","given":"Mohammed","non-dropping-particle":"","parse-names":false,"suffix":""},{"dropping-particle":"","family":"Bicer","given":"Yusuf","non-dropping-particle":"","parse-names":false,"suffix":""}],"container-title":"Energy Conversion and Management","id":"ITEM-8","issued":{"date-parts":[["2020","4"]]},"publisher":"Elsevier Ltd","title":"Investigating the technical feasibility of various energy carriers for alternative and sustainable overseas energy transport scenarios","type":"article-journal","volume":"209"},"uris":["http://www.mendeley.com/documents/?uuid=008c9c32-2200-4fd0-849b-e0038b1e6d3d","http://www.mendeley.com/documents/?uuid=2dddf28a-f605-4087-9def-8d1bf78c2d08","http://www.mendeley.com/documents/?uuid=dee8433d-39fe-3dd1-853a-17cd7beab655"]}],"mendeley":{"formattedCitation":"&lt;sup&gt;93–98,104,105&lt;/sup&gt;","plainTextFormattedCitation":"93–98,104,105","previouslyFormattedCitation":"&lt;sup&gt;93–98,104,105&lt;/sup&gt;"},"properties":{"noteIndex":0},"schema":"https://github.com/citation-style-language/schema/raw/master/csl-citation.json"}</w:instrText>
            </w:r>
            <w:r w:rsidRPr="00756B03">
              <w:rPr>
                <w:color w:val="auto"/>
                <w:sz w:val="18"/>
                <w:szCs w:val="18"/>
              </w:rPr>
              <w:fldChar w:fldCharType="separate"/>
            </w:r>
            <w:r w:rsidR="00BD7196" w:rsidRPr="00BD7196">
              <w:rPr>
                <w:noProof/>
                <w:color w:val="auto"/>
                <w:sz w:val="18"/>
                <w:szCs w:val="18"/>
                <w:vertAlign w:val="superscript"/>
              </w:rPr>
              <w:t>93–98,104,105</w:t>
            </w:r>
            <w:r w:rsidRPr="00756B03">
              <w:rPr>
                <w:color w:val="auto"/>
                <w:sz w:val="18"/>
                <w:szCs w:val="18"/>
              </w:rPr>
              <w:fldChar w:fldCharType="end"/>
            </w:r>
            <w:r w:rsidR="009B5898" w:rsidRPr="00437537">
              <w:rPr>
                <w:color w:val="auto"/>
                <w:sz w:val="18"/>
                <w:szCs w:val="18"/>
                <w:vertAlign w:val="superscript"/>
              </w:rPr>
              <w:t>,</w:t>
            </w:r>
            <w:r w:rsidR="009B5898" w:rsidRPr="007D4685">
              <w:rPr>
                <w:noProof/>
                <w:color w:val="auto"/>
                <w:sz w:val="18"/>
                <w:szCs w:val="18"/>
                <w:vertAlign w:val="superscript"/>
              </w:rPr>
              <w:t>101</w:t>
            </w:r>
          </w:p>
        </w:tc>
      </w:tr>
      <w:tr w:rsidR="00C670EC" w:rsidRPr="00F81774" w14:paraId="712E5CFD" w14:textId="77777777" w:rsidTr="00F94126">
        <w:trPr>
          <w:cnfStyle w:val="000000010000" w:firstRow="0" w:lastRow="0" w:firstColumn="0" w:lastColumn="0" w:oddVBand="0" w:evenVBand="0" w:oddHBand="0" w:evenHBand="1"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013" w:type="dxa"/>
          </w:tcPr>
          <w:p w14:paraId="5D16AAB4" w14:textId="77777777" w:rsidR="008C23DC" w:rsidRPr="00756B03" w:rsidRDefault="008C23DC" w:rsidP="0033223F">
            <w:pPr>
              <w:rPr>
                <w:color w:val="auto"/>
                <w:sz w:val="18"/>
                <w:szCs w:val="18"/>
              </w:rPr>
            </w:pPr>
            <w:r w:rsidRPr="00756B03">
              <w:rPr>
                <w:color w:val="auto"/>
                <w:sz w:val="18"/>
                <w:szCs w:val="18"/>
              </w:rPr>
              <w:t>LOHCs</w:t>
            </w:r>
          </w:p>
        </w:tc>
        <w:tc>
          <w:tcPr>
            <w:tcW w:w="1129" w:type="dxa"/>
          </w:tcPr>
          <w:p w14:paraId="499F9754"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Production Transport and Storage</w:t>
            </w:r>
          </w:p>
        </w:tc>
        <w:tc>
          <w:tcPr>
            <w:tcW w:w="1057" w:type="dxa"/>
          </w:tcPr>
          <w:p w14:paraId="0A7D467D"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7</w:t>
            </w:r>
          </w:p>
        </w:tc>
        <w:tc>
          <w:tcPr>
            <w:tcW w:w="1055" w:type="dxa"/>
          </w:tcPr>
          <w:p w14:paraId="0305DC24"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1.266</w:t>
            </w:r>
          </w:p>
        </w:tc>
        <w:tc>
          <w:tcPr>
            <w:tcW w:w="850" w:type="dxa"/>
          </w:tcPr>
          <w:p w14:paraId="12DB036F"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1.174</w:t>
            </w:r>
          </w:p>
        </w:tc>
        <w:tc>
          <w:tcPr>
            <w:tcW w:w="992" w:type="dxa"/>
          </w:tcPr>
          <w:p w14:paraId="771F6F32"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4.35 – 13.09</w:t>
            </w:r>
          </w:p>
        </w:tc>
        <w:tc>
          <w:tcPr>
            <w:tcW w:w="1134" w:type="dxa"/>
          </w:tcPr>
          <w:p w14:paraId="0BF9D903"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54.9</w:t>
            </w:r>
          </w:p>
        </w:tc>
        <w:tc>
          <w:tcPr>
            <w:tcW w:w="1134" w:type="dxa"/>
          </w:tcPr>
          <w:p w14:paraId="0B0707B5"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21.3</w:t>
            </w:r>
          </w:p>
        </w:tc>
        <w:tc>
          <w:tcPr>
            <w:tcW w:w="1232" w:type="dxa"/>
          </w:tcPr>
          <w:p w14:paraId="27BF6666"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42.59-43.45</w:t>
            </w:r>
          </w:p>
        </w:tc>
        <w:tc>
          <w:tcPr>
            <w:tcW w:w="1178" w:type="dxa"/>
          </w:tcPr>
          <w:p w14:paraId="1870E04D" w14:textId="77777777" w:rsidR="008C23DC" w:rsidRPr="00756B03" w:rsidRDefault="0019753D" w:rsidP="005A591C">
            <w:pPr>
              <w:shd w:val="clear" w:color="auto" w:fill="F2F2F2" w:themeFill="background2"/>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0.088</w:t>
            </w:r>
          </w:p>
          <w:p w14:paraId="74C82102" w14:textId="266D5305" w:rsidR="0019753D" w:rsidRPr="00756B03" w:rsidRDefault="0019753D" w:rsidP="005A591C">
            <w:pPr>
              <w:shd w:val="clear" w:color="auto" w:fill="F2F2F2" w:themeFill="background2"/>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(DME as carrier)</w:t>
            </w:r>
          </w:p>
        </w:tc>
        <w:tc>
          <w:tcPr>
            <w:tcW w:w="992" w:type="dxa"/>
          </w:tcPr>
          <w:p w14:paraId="3CA72E48"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0.0053</w:t>
            </w:r>
          </w:p>
        </w:tc>
        <w:tc>
          <w:tcPr>
            <w:tcW w:w="1560" w:type="dxa"/>
          </w:tcPr>
          <w:p w14:paraId="74A75100" w14:textId="05784762"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3012B7">
              <w:rPr>
                <w:color w:val="auto"/>
                <w:sz w:val="18"/>
                <w:szCs w:val="18"/>
              </w:rPr>
              <w:t>0</w:t>
            </w:r>
          </w:p>
        </w:tc>
        <w:tc>
          <w:tcPr>
            <w:tcW w:w="1559" w:type="dxa"/>
          </w:tcPr>
          <w:p w14:paraId="51DB6CD4" w14:textId="77777777"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t>Dependent upon the LOHC considered (DBT assessed)</w:t>
            </w:r>
          </w:p>
        </w:tc>
        <w:tc>
          <w:tcPr>
            <w:tcW w:w="850" w:type="dxa"/>
          </w:tcPr>
          <w:p w14:paraId="69EAD65B" w14:textId="639836CD" w:rsidR="008C23DC" w:rsidRPr="00756B03" w:rsidRDefault="008C23DC" w:rsidP="0033223F">
            <w:pPr>
              <w:jc w:val="center"/>
              <w:cnfStyle w:val="000000010000" w:firstRow="0" w:lastRow="0" w:firstColumn="0" w:lastColumn="0" w:oddVBand="0" w:evenVBand="0" w:oddHBand="0" w:evenHBand="1" w:firstRowFirstColumn="0" w:firstRowLastColumn="0" w:lastRowFirstColumn="0" w:lastRowLastColumn="0"/>
              <w:rPr>
                <w:color w:val="auto"/>
                <w:sz w:val="18"/>
                <w:szCs w:val="18"/>
              </w:rPr>
            </w:pPr>
            <w:r w:rsidRPr="00756B03">
              <w:rPr>
                <w:color w:val="auto"/>
                <w:sz w:val="18"/>
                <w:szCs w:val="18"/>
              </w:rPr>
              <w:fldChar w:fldCharType="begin" w:fldLock="1"/>
            </w:r>
            <w:r w:rsidR="00FF4E1A">
              <w:rPr>
                <w:color w:val="auto"/>
                <w:sz w:val="18"/>
                <w:szCs w:val="18"/>
              </w:rPr>
              <w:instrText>ADDIN CSL_CITATION {"citationItems":[{"id":"ITEM-1","itemData":{"abstract":"The National Hydrogen Roadmap provides a blueprint for the development of a hydrogen industry in Australia.","author":[{"dropping-particle":"","family":"Bruce S","given":"","non-dropping-particle":"","parse-names":false,"suffix":""},{"dropping-particle":"","family":"Temminghoff M","given":"","non-dropping-particle":"","parse-names":false,"suffix":""},{"dropping-particle":"","family":"Hayward J","given":"","non-dropping-particle":"","parse-names":false,"suffix":""},{"dropping-particle":"","family":"Schmidt E","given":"","non-dropping-particle":"","parse-names":false,"suffix":""},{"dropping-particle":"","family":"Munnings C","given":"","non-dropping-particle":"","parse-names":false,"suffix":""},{"dropping-particle":"","family":"Palfreyman D","given":"","non-dropping-particle":"","parse-names":false,"suffix":""},{"dropping-particle":"","family":"Hartley P","given":"","non-dropping-particle":"","parse-names":false,"suffix":""}],"id":"ITEM-1","issued":{"date-parts":[["2019"]]},"publisher":"CSIRO","title":"Pathways to an economically sustainable hydrogen industry in Australia National Hydrogen Roadmap","type":"article-journal"},"uris":["http://www.mendeley.com/documents/?uuid=6be21e30-fc07-4d6f-8b42-f186355a9e3b","http://www.mendeley.com/documents/?uuid=92c811b2-7daf-454b-aa1c-0c709ee30c55","http://www.mendeley.com/documents/?uuid=3e4df0ac-a936-3908-bb4a-70b3d65f26a3"]},{"id":"ITEM-2","itemData":{"DOI":"10.1039/c8ee02700e","ISSN":"17545706","abstract":"Long-distance transport and long-term storage of hydrogen can be realized with Liquid Organic Hydrogen Carriers (LOHC) based on a two-step cycle: (1) loading of hydrogen (hydrogenation) into the LOHC molecule (i.e., hydrogen is covalently bound to the LOHC) and (2) unloading of hydrogen (dehydrogenation) after transport and storage. Since the (optimal) LOHC is liquid at ambient conditions and shows similar properties to crude oil based liquids (e.g. diesel, and gasoline), handling and storage is realized by well-known processes; thus stepwise adaptation of the existing crude oil based infrastructure is basically possible. Against this background, a defined process chain for intercontinental ship transport of hydrogen (5000 km) is simulated with various LOHCs. The respective results are evaluated and assessed related to their technological and economic performance. Additionally, they are compared to a pipeline-based provision chain based on compressed hydrogen (CGH 2 ). Among others, the results show that methanol is the cheapest LOHC option for storage and transportation followed by dibenzyltoluene and toluene. For a storage time of 60 days they show economic advantages compared to compressed hydrogen (CGH 2 ) under the defined assumptions; thus these LOHC options are especially advantageous for long-term storage/long distance transport applications. The energetic efficiency of the systems mainly depends on the source of the dehydrogenation heat. Two options, dehydrogenation driven by hydrogen burning vs. dehydrogenation driven by waste heat, have been evaluated in this study. Systems that run on waste heat perform much better in terms of efficiency. Overall, LOHCs can provide technologically efficient and economic promising storage and transport within a sustainable hydrogen economy.","author":[{"dropping-particle":"","family":"Niermann","given":"M.","non-dropping-particle":"","parse-names":false,"suffix":""},{"dropping-particle":"","family":"Drünert","given":"S.","non-dropping-particle":"","parse-names":false,"suffix":""},{"dropping-particle":"","family":"Kaltschmitt","given":"M.","non-dropping-particle":"","parse-names":false,"suffix":""},{"dropping-particle":"","family":"Bonhoff","given":"K.","non-dropping-particle":"","parse-names":false,"suffix":""}],"container-title":"Energy and Environmental Science","id":"ITEM-2","issue":"1","issued":{"date-parts":[["2019","1"]]},"page":"290-307","publisher":"Royal Society of Chemistry","title":"Liquid organic hydrogen carriers (LOHCs)-techno-economic analysis of LOHCs in a defined process chain","type":"article-journal","volume":"12"},"uris":["http://www.mendeley.com/documents/?uuid=d0d97185-3037-4a76-a648-6faf44538922","http://www.mendeley.com/documents/?uuid=9acb6151-6d46-4632-b39f-b9986df5f9f1","http://www.mendeley.com/documents/?uuid=c5187127-45e8-39dc-a233-97245c79b3b1","http://www.mendeley.com/documents/?uuid=08853106-05dc-415f-bca3-71866c9d7ba5","http://www.mendeley.com/documents/?uuid=d659f1f2-ea42-4a23-8858-b3ffc93f61ef","http://www.mendeley.com/documents/?uuid=22596535-7f4b-402a-ac7b-bd1c65d45cd1","http://www.mendeley.com/documents/?uuid=f7e2e94f-5b9c-413d-9086-60896a5f71ec"]},{"id":"ITEM-3","itemData":{"DOI":"10.1016/j.apenergy.2020.115314","ISSN":"03062619","abstract":"As the number of new candidates for liquid organic hydrogen carriers (LOHC) that are being identified and experimentally tested is increasing, so does the requirement to analytically evaluate large scale hydrogen delivery processes which will utilize these chemicals. Here, we detail a technological evaluation, cost estimation, and market performance analysis of a large-scale (1000 m3/h H2), CO2 emission-free, LOHC dehydrogenation system and the accompanying costs of supply logistics. Four reversible LOHC systems, Eutectic biphenyl/diphenylmethane mixture (EUT), 2-(N-Methylbenzyl)pyridine (MBP), N-phenylcarbazole (NPC), and N-ethylcarbazole (NEC) were evaluated in stand-alone cases, with the fifth case utilizing all four in a temperature-cascade (TC) process intensification. Total capital investments for this H2 output scale were found to range from 24 to 44 mil USD, with shipping cost and LOHC price determined to be main parameters affecting the process economics. Market performance results show that for the 3.5 USD/kg H2 selling price, the purchase prices of LOHC chemicals must be 5.44, 4.74, 4.01, 4.12 USD/kg for EUT, MBP, NPC and NEC respectively. Finally, the TC market operating and market performance was quantified and market conditions for justifiable investment in such a system were defined.","author":[{"dropping-particle":"","family":"Brigljević","given":"Boris","non-dropping-particle":"","parse-names":false,"suffix":""},{"dropping-particle":"","family":"Byun","given":"Manhee","non-dropping-particle":"","parse-names":false,"suffix":""},{"dropping-particle":"","family":"Lim","given":"Hankwon","non-dropping-particle":"","parse-names":false,"suffix":""}],"container-title":"Applied Energy","id":"ITEM-3","issued":{"date-parts":[["2020","9"]]},"publisher":"Elsevier Ltd","title":"Design, economic evaluation, and market uncertainty analysis of LOHC-based, CO2 free, hydrogen delivery systems","type":"article-journal","volume":"274"},"uris":["http://www.mendeley.com/documents/?uuid=e97fde0a-8e7f-353a-b8de-3c27e17fd090","http://www.mendeley.com/documents/?uuid=19e96f34-ab40-4dce-bb64-22b1ca947785","http://www.mendeley.com/documents/?uuid=748ef24e-cfed-4747-a39f-2bfab6260145"]},{"id":"ITEM-4","itemData":{"DOI":"10.1016/j.egyr.2020.07.013","ISSN":"23524847","abstract":"As a result of particular locations of large-scale energy producers and increases in energy demand, transporting energy has become one of the key challenges of energy supply. For a long-distance ocean transportation, transfer of energy carriers via ocean tankers is considered as a decent solution compared to pipelines. Due to cryogenic temperatures of energy carriers, heat leaks into storage tanks of these carriers causes a problem called boil-off gas (BOG). BOG losses reduce the quantity of energy carriers, which affects their economic value. Therefore, this study proposes to examine the effects of BOG economically in production and transportation phases of potential energy carriers produced from natural gas, namely; liquefied natural gas (LNG), dimethyl-ether (DME), methanol, liquid ammonia (NH3), and liquid hydrogen (H2). Mathematical approach is used to calculate production and transportation costs of these energy carriers and to account for BOG as a unit cost within the total cost. The results of this study show that transportation costs of LNG, liquid ammonia, methanol, DME, and liquid hydrogen from natural gas accounting for BOG are 0.74 $/GJ, 1.09 $/GJ, 0.68 $/GJ, 0.53 $/GJ, and 3.24 $/GJ, respectively. DME and methanol can be more economic compared to LNG to transport the energy of natural gas for the same ship capacity. Including social cost of carbon (SCC) within the total cost of transporting the energy of natural gas, the transportation cost of liquid ammonia is 1.11 $/GJ, whereas LNG transportation cost rises significantly to 1.68 $/GJ at SCC of 137 $/t CO2 eq. Consequently, liquid ammonia becomes economically favored compared to LNG. Transportation cost of methanol (0.70 $/GJ) and DME (0.55 $/GJ) are also lower than LNG, however, liquid hydrogen transportation cost (3.24 $/GJ) is still the highest even though the increment of the cost is about 0.1% as SCC included within the transportation cost.","author":[{"dropping-particle":"","family":"Al-Breiki","given":"Mohammed","non-dropping-particle":"","parse-names":false,"suffix":""},{"dropping-particle":"","family":"Bicer","given":"Yusuf","non-dropping-particle":"","parse-names":false,"suffix":""}],"container-title":"Energy Reports","id":"ITEM-4","issued":{"date-parts":[["2020","11"]]},"page":"1897-1909","publisher":"Elsevier Ltd","title":"Comparative cost assessment of sustainable energy carriers produced from natural gas accounting for boil-off gas and social cost of carbon","type":"article-journal","volume":"6"},"uris":["http://www.mendeley.com/documents/?uuid=efdb4c2d-169f-4e97-9025-7eb0d85d85c5","http://www.mendeley.com/documents/?uuid=3bcc8aaf-aa35-4ece-b242-0748180bf679","http://www.mendeley.com/documents/?uuid=2dea04df-9991-387b-a17e-2d81de1d8f50"]},{"id":"ITEM-5","itemData":{"DOI":"10.1016/j.ijhydene.2020.09.017","ISSN":"03603199","abstract":"Low-carbon hydrogen is considered as one of the key measures to decarbonise continental Europe and Japan. Northern Norway has abundant renewable energy and natural gas resources which can be converted to low-carbon hydrogen. However, Norway is located relatively far away from these markets and finding efficient ways to transport this hydrogen to the end-user is critical. In this study, liquefied hydrogen (LH2) and ammonia (NH3), as H2-based energy carriers, are analysed and compared with respect to energy efficiency, CO2 footprint and cost. It is shown that the LH2 chain is more energy efficient and has a smaller CO2 footprint (20 and 23 kg-CO2/MWhth for Europe and Japan, respectively) than the NH3 chain (76 and 122 kg-CO2/MWhth). Furthermore, the study finds the levelized cost of hydrogen delivered to Rotterdam to be lower for LH2 (5.0 EUR/kg-H2) compared to NH3 (5.9 EUR/kg-H2), while the hydrogen costs of the two chains for transport to Japan are in a similar range (about 7 EUR/kg-H2). It is also shown that under optimistic assumptions, the costs associated with the LH2 chain (3.2 EUR/kg-H2) are close to meeting the 2030 hydrogen cost target of Japan (2.5 EUR/kg-H2).","author":[{"dropping-particle":"","family":"Ishimoto","given":"Yuki","non-dropping-particle":"","parse-names":false,"suffix":""},{"dropping-particle":"","family":"Voldsund","given":"Mari","non-dropping-particle":"","parse-names":false,"suffix":""},{"dropping-particle":"","family":"Nekså","given":"Petter","non-dropping-particle":"","parse-names":false,"suffix":""},{"dropping-particle":"","family":"Roussanaly","given":"Simon","non-dropping-particle":"","parse-names":false,"suffix":""},{"dropping-particle":"","family":"Berstad","given":"David","non-dropping-particle":"","parse-names":false,"suffix":""},{"dropping-particle":"","family":"Gardarsdottir","given":"Stefania Osk","non-dropping-particle":"","parse-names":false,"suffix":""}],"container-title":"International Journal of Hydrogen Energy","id":"ITEM-5","issue":"58","issued":{"date-parts":[["2020","11"]]},"page":"32865-32883","publisher":"Elsevier Ltd","title":"Large-scale production and transport of hydrogen from Norway to Europe and Japan: Value chain analysis and comparison of liquid hydrogen and ammonia as energy carriers","type":"article-journal","volume":"45"},"uris":["http://www.mendeley.com/documents/?uuid=2aee8aec-5305-4d36-a391-3f592edbd473","http://www.mendeley.com/documents/?uuid=25c129ea-f0fe-4aaa-9bba-df9ca76f0962","http://www.mendeley.com/documents/?uuid=7915753b-82cf-35a2-b231-64db04f005f9","http://www.mendeley.com/documents/?uuid=edc4f7e0-5a44-4ea7-bc7f-2e5e7e9ce5f1","http://www.mendeley.com/documents/?uuid=87e029f1-eb54-47d6-bbd7-908a5dccbf03"]},{"id":"ITEM-6","itemData":{"DOI":"10.1016/j.enconman.2020.112652","ISSN":"01968904","abstract":"The technological barriers against energy transport includes low energy density, intermittent supply and immobility of the energy sources. A potential and sustainable solution to overcome these barriers is to use an effective and efficient energy carrier which can store, transport and distribute energy in a technically feasible manner. Therefore, this study presents five potential energy carriers for overseas energy transport; liquifed natural gas (LNG), dimethyl ether (DME), liquid ammonia, methanol and liquid hydrogen which are used to carry the energy of natural gas in liquefied form from a supplied region to a demanded region. During the supply chain of the energy carriers, the amount of boil-off gas (BOG) for each energy carrier is calculated. A sensitivity analysis affecting BOG rates is implemented under variety of parameters, namely; ambient temperature, storage pressure, land storage time, ocean transportation time, heel percentage and pumping time. This study shows that the daily BOG rates for LNG, DME, ammonia, methanol, and hydrogen are calculated as 0.471%, 0.159%, 0.129%, 0.049%, and 3.438%, respectively. Methanol delivers the greatest mass, DME delivers the greatest energy and hydrogen loses the greatest mass as BOG during the supply chain. The highest BOG generation mainly occurs during ocean transportation phase, implying that ocean transportation time is the most critical parameter among the studied parameters.","author":[{"dropping-particle":"","family":"Al-Breiki","given":"Mohammed","non-dropping-particle":"","parse-names":false,"suffix":""},{"dropping-particle":"","family":"Bicer","given":"Yusuf","non-dropping-particle":"","parse-names":false,"suffix":""}],"container-title":"Energy Conversion and Management","id":"ITEM-6","issued":{"date-parts":[["2020","4"]]},"publisher":"Elsevier Ltd","title":"Investigating the technical feasibility of various energy carriers for alternative and sustainable overseas energy transport scenarios","type":"article-journal","volume":"209"},"uris":["http://www.mendeley.com/documents/?uuid=008c9c32-2200-4fd0-849b-e0038b1e6d3d","http://www.mendeley.com/documents/?uuid=2dddf28a-f605-4087-9def-8d1bf78c2d08","http://www.mendeley.com/documents/?uuid=dee8433d-39fe-3dd1-853a-17cd7beab655"]},{"id":"ITEM-7","itemData":{"URL":"https://www.engineeringtoolbox.com/co2-emission-fuels-d_1085.html","accessed":{"date-parts":[["2021","7","15"]]},"container-title":"The Engineering Toolbox","id":"ITEM-7","issued":{"date-parts":[["0"]]},"title":"Combustion of Fuels - Carbon Dioxide Emission","type":"webpage"},"uris":["http://www.mendeley.com/documents/?uuid=f141e992-a810-31b9-94d5-cab3ce72c3c9"]}],"mendeley":{"formattedCitation":"&lt;sup&gt;93,95–98,106,107&lt;/sup&gt;","plainTextFormattedCitation":"93,95–98,106,107","previouslyFormattedCitation":"&lt;sup&gt;93,95–98,106,107&lt;/sup&gt;"},"properties":{"noteIndex":0},"schema":"https://github.com/citation-style-language/schema/raw/master/csl-citation.json"}</w:instrText>
            </w:r>
            <w:r w:rsidRPr="00756B03">
              <w:rPr>
                <w:color w:val="auto"/>
                <w:sz w:val="18"/>
                <w:szCs w:val="18"/>
              </w:rPr>
              <w:fldChar w:fldCharType="separate"/>
            </w:r>
            <w:r w:rsidR="00BD7196" w:rsidRPr="00BD7196">
              <w:rPr>
                <w:noProof/>
                <w:color w:val="auto"/>
                <w:sz w:val="18"/>
                <w:szCs w:val="18"/>
                <w:vertAlign w:val="superscript"/>
              </w:rPr>
              <w:t>93,95–98,106,107</w:t>
            </w:r>
            <w:r w:rsidRPr="00756B03">
              <w:rPr>
                <w:color w:val="auto"/>
                <w:sz w:val="18"/>
                <w:szCs w:val="18"/>
              </w:rPr>
              <w:fldChar w:fldCharType="end"/>
            </w:r>
          </w:p>
        </w:tc>
      </w:tr>
    </w:tbl>
    <w:p w14:paraId="42526D3F" w14:textId="21CC338E" w:rsidR="00E410CD" w:rsidRPr="002E581D" w:rsidRDefault="003C4035" w:rsidP="003C4035">
      <w:pPr>
        <w:spacing w:before="240" w:line="240" w:lineRule="auto"/>
        <w:ind w:left="-993"/>
        <w:jc w:val="both"/>
        <w:rPr>
          <w:rFonts w:eastAsia="Times New Roman"/>
          <w:b/>
          <w:color w:val="auto"/>
          <w:sz w:val="18"/>
          <w:szCs w:val="18"/>
          <w:lang w:eastAsia="en-AU"/>
        </w:rPr>
      </w:pPr>
      <w:r w:rsidRPr="002E581D">
        <w:rPr>
          <w:rFonts w:eastAsia="Times New Roman"/>
          <w:b/>
          <w:color w:val="auto"/>
          <w:sz w:val="18"/>
          <w:szCs w:val="18"/>
          <w:lang w:eastAsia="en-AU"/>
        </w:rPr>
        <w:t>Note:</w:t>
      </w:r>
    </w:p>
    <w:p w14:paraId="361FEA78" w14:textId="13961B36" w:rsidR="003C4035" w:rsidRPr="002E581D" w:rsidRDefault="003C4035" w:rsidP="003C4035">
      <w:pPr>
        <w:pStyle w:val="ListParagraph"/>
        <w:numPr>
          <w:ilvl w:val="0"/>
          <w:numId w:val="40"/>
        </w:numPr>
        <w:spacing w:before="240" w:line="240" w:lineRule="auto"/>
        <w:ind w:left="-567"/>
        <w:jc w:val="both"/>
        <w:rPr>
          <w:rFonts w:eastAsia="Times New Roman"/>
          <w:b/>
          <w:color w:val="auto"/>
          <w:sz w:val="18"/>
          <w:szCs w:val="18"/>
          <w:lang w:eastAsia="en-AU"/>
        </w:rPr>
      </w:pPr>
      <w:r w:rsidRPr="002E581D">
        <w:rPr>
          <w:rFonts w:eastAsia="Times New Roman"/>
          <w:color w:val="auto"/>
          <w:sz w:val="18"/>
          <w:szCs w:val="18"/>
          <w:lang w:eastAsia="en-AU"/>
        </w:rPr>
        <w:t>The CAPEX and OPEX values represented here include the total hydrogen value chain, hydrogen generation (electrolysis), conversion to carrier at export site</w:t>
      </w:r>
      <w:r w:rsidR="00C65E42" w:rsidRPr="002E581D">
        <w:rPr>
          <w:rFonts w:eastAsia="Times New Roman"/>
          <w:color w:val="auto"/>
          <w:sz w:val="18"/>
          <w:szCs w:val="18"/>
          <w:lang w:eastAsia="en-AU"/>
        </w:rPr>
        <w:t>, port storage and onloading to shi</w:t>
      </w:r>
      <w:r w:rsidR="000E726D" w:rsidRPr="002E581D">
        <w:rPr>
          <w:rFonts w:eastAsia="Times New Roman"/>
          <w:color w:val="auto"/>
          <w:sz w:val="18"/>
          <w:szCs w:val="18"/>
          <w:lang w:eastAsia="en-AU"/>
        </w:rPr>
        <w:t>p. The costs are based o</w:t>
      </w:r>
      <w:r w:rsidR="0006003F">
        <w:rPr>
          <w:rFonts w:eastAsia="Times New Roman"/>
          <w:color w:val="auto"/>
          <w:sz w:val="18"/>
          <w:szCs w:val="18"/>
          <w:lang w:eastAsia="en-AU"/>
        </w:rPr>
        <w:t>n</w:t>
      </w:r>
      <w:r w:rsidR="000E726D" w:rsidRPr="002E581D">
        <w:rPr>
          <w:rFonts w:eastAsia="Times New Roman"/>
          <w:color w:val="auto"/>
          <w:sz w:val="18"/>
          <w:szCs w:val="18"/>
          <w:lang w:eastAsia="en-AU"/>
        </w:rPr>
        <w:t xml:space="preserve"> literature analysis</w:t>
      </w:r>
    </w:p>
    <w:p w14:paraId="786F85FB" w14:textId="419B06B5" w:rsidR="00E17CDA" w:rsidRPr="00E17CDA" w:rsidRDefault="00E17CDA" w:rsidP="00E410CD">
      <w:pPr>
        <w:pStyle w:val="ListParagraph"/>
        <w:numPr>
          <w:ilvl w:val="0"/>
          <w:numId w:val="40"/>
        </w:numPr>
        <w:spacing w:before="240" w:line="240" w:lineRule="auto"/>
        <w:ind w:left="-567"/>
        <w:jc w:val="both"/>
        <w:rPr>
          <w:rFonts w:eastAsia="Times New Roman"/>
          <w:b/>
          <w:color w:val="auto"/>
          <w:sz w:val="18"/>
          <w:szCs w:val="18"/>
          <w:lang w:eastAsia="en-AU"/>
        </w:rPr>
      </w:pPr>
      <w:r>
        <w:rPr>
          <w:rFonts w:eastAsia="Times New Roman"/>
          <w:bCs/>
          <w:color w:val="auto"/>
          <w:sz w:val="18"/>
          <w:szCs w:val="18"/>
          <w:lang w:eastAsia="en-AU"/>
        </w:rPr>
        <w:t xml:space="preserve">Reconversion efficiency represents the efficiency for </w:t>
      </w:r>
      <w:r w:rsidR="007B61E1">
        <w:rPr>
          <w:rFonts w:eastAsia="Times New Roman"/>
          <w:bCs/>
          <w:color w:val="auto"/>
          <w:sz w:val="18"/>
          <w:szCs w:val="18"/>
          <w:lang w:eastAsia="en-AU"/>
        </w:rPr>
        <w:t>y</w:t>
      </w:r>
    </w:p>
    <w:p w14:paraId="2CD415D3" w14:textId="1085CF54" w:rsidR="00E410CD" w:rsidRPr="002E581D" w:rsidRDefault="00C65E42" w:rsidP="00E410CD">
      <w:pPr>
        <w:pStyle w:val="ListParagraph"/>
        <w:numPr>
          <w:ilvl w:val="0"/>
          <w:numId w:val="40"/>
        </w:numPr>
        <w:spacing w:before="240" w:line="240" w:lineRule="auto"/>
        <w:ind w:left="-567"/>
        <w:jc w:val="both"/>
        <w:rPr>
          <w:rFonts w:eastAsia="Times New Roman"/>
          <w:b/>
          <w:color w:val="auto"/>
          <w:sz w:val="18"/>
          <w:szCs w:val="18"/>
          <w:lang w:eastAsia="en-AU"/>
        </w:rPr>
        <w:sectPr w:rsidR="00E410CD" w:rsidRPr="002E581D" w:rsidSect="00011C37">
          <w:pgSz w:w="16838" w:h="11906" w:orient="landscape" w:code="9"/>
          <w:pgMar w:top="426" w:right="936" w:bottom="567" w:left="1418" w:header="851" w:footer="624" w:gutter="0"/>
          <w:pgNumType w:start="1"/>
          <w:cols w:space="708"/>
          <w:titlePg/>
          <w:docGrid w:linePitch="360"/>
        </w:sectPr>
      </w:pPr>
      <w:r w:rsidRPr="002E581D">
        <w:rPr>
          <w:rFonts w:eastAsia="Times New Roman"/>
          <w:color w:val="auto"/>
          <w:sz w:val="18"/>
          <w:szCs w:val="18"/>
          <w:lang w:eastAsia="en-AU"/>
        </w:rPr>
        <w:t xml:space="preserve">The transport costs are based on </w:t>
      </w:r>
      <w:r w:rsidR="000E726D" w:rsidRPr="002E581D">
        <w:rPr>
          <w:rFonts w:eastAsia="Times New Roman"/>
          <w:color w:val="auto"/>
          <w:sz w:val="18"/>
          <w:szCs w:val="18"/>
          <w:lang w:eastAsia="en-AU"/>
        </w:rPr>
        <w:t xml:space="preserve">the individual shipping costs of carriers established as part of internal </w:t>
      </w:r>
      <w:proofErr w:type="spellStart"/>
      <w:r w:rsidR="000E726D" w:rsidRPr="002E581D">
        <w:rPr>
          <w:rFonts w:eastAsia="Times New Roman"/>
          <w:color w:val="auto"/>
          <w:sz w:val="18"/>
          <w:szCs w:val="18"/>
          <w:lang w:eastAsia="en-AU"/>
        </w:rPr>
        <w:t>HySupply</w:t>
      </w:r>
      <w:proofErr w:type="spellEnd"/>
      <w:r w:rsidR="000E726D" w:rsidRPr="002E581D">
        <w:rPr>
          <w:rFonts w:eastAsia="Times New Roman"/>
          <w:color w:val="auto"/>
          <w:sz w:val="18"/>
          <w:szCs w:val="18"/>
          <w:lang w:eastAsia="en-AU"/>
        </w:rPr>
        <w:t xml:space="preserve"> analysis (Table 15 of State of Play Report). The case of transporting </w:t>
      </w:r>
      <w:r w:rsidR="0070420F" w:rsidRPr="002E581D">
        <w:rPr>
          <w:rFonts w:eastAsia="Times New Roman"/>
          <w:color w:val="auto"/>
          <w:sz w:val="18"/>
          <w:szCs w:val="18"/>
          <w:lang w:eastAsia="en-AU"/>
        </w:rPr>
        <w:t>from Geraldton to Rotterdam was used as a reference.</w:t>
      </w:r>
    </w:p>
    <w:p w14:paraId="5F561AEA" w14:textId="715DC064" w:rsidR="00E410CD" w:rsidRPr="00DB08A2" w:rsidRDefault="0073610F" w:rsidP="00DB08A2">
      <w:pPr>
        <w:spacing w:after="240"/>
        <w:rPr>
          <w:rFonts w:asciiTheme="minorHAnsi" w:hAnsiTheme="minorHAnsi"/>
          <w:b/>
          <w:bCs/>
          <w:sz w:val="28"/>
          <w:szCs w:val="28"/>
          <w:lang w:eastAsia="en-AU"/>
        </w:rPr>
      </w:pPr>
      <w:r>
        <w:rPr>
          <w:rFonts w:asciiTheme="minorHAnsi" w:hAnsiTheme="minorHAnsi"/>
          <w:b/>
          <w:bCs/>
          <w:sz w:val="28"/>
          <w:szCs w:val="28"/>
          <w:lang w:eastAsia="en-AU"/>
        </w:rPr>
        <w:lastRenderedPageBreak/>
        <w:t>C</w:t>
      </w:r>
      <w:r w:rsidR="00DB08A2" w:rsidRPr="00DB08A2">
        <w:rPr>
          <w:rFonts w:asciiTheme="minorHAnsi" w:hAnsiTheme="minorHAnsi"/>
          <w:b/>
          <w:bCs/>
          <w:sz w:val="28"/>
          <w:szCs w:val="28"/>
          <w:lang w:eastAsia="en-AU"/>
        </w:rPr>
        <w:t xml:space="preserve">.7. </w:t>
      </w:r>
      <w:r w:rsidR="00E410CD" w:rsidRPr="00DB08A2">
        <w:rPr>
          <w:rFonts w:asciiTheme="minorHAnsi" w:hAnsiTheme="minorHAnsi"/>
          <w:b/>
          <w:bCs/>
          <w:sz w:val="28"/>
          <w:szCs w:val="28"/>
          <w:lang w:eastAsia="en-AU"/>
        </w:rPr>
        <w:t>Multi-Criteria Analysis</w:t>
      </w:r>
    </w:p>
    <w:p w14:paraId="204A1EEA" w14:textId="5DD18EC7" w:rsidR="00E410CD" w:rsidRPr="00F81774" w:rsidRDefault="00221E43" w:rsidP="00DB08A2">
      <w:pPr>
        <w:spacing w:after="240" w:line="240" w:lineRule="auto"/>
        <w:jc w:val="both"/>
        <w:rPr>
          <w:rFonts w:eastAsia="Times New Roman" w:cs="Times New Roman"/>
          <w:szCs w:val="24"/>
          <w:lang w:eastAsia="en-AU"/>
        </w:rPr>
      </w:pPr>
      <w:r>
        <w:rPr>
          <w:rFonts w:eastAsia="Times New Roman" w:cs="Times New Roman"/>
          <w:szCs w:val="24"/>
          <w:lang w:eastAsia="en-AU"/>
        </w:rPr>
        <w:t>E</w:t>
      </w:r>
      <w:r w:rsidR="00E410CD" w:rsidRPr="00F81774">
        <w:rPr>
          <w:rFonts w:eastAsia="Times New Roman" w:cs="Times New Roman"/>
          <w:szCs w:val="24"/>
          <w:lang w:eastAsia="en-AU"/>
        </w:rPr>
        <w:t xml:space="preserve">valuation bands were </w:t>
      </w:r>
      <w:r>
        <w:rPr>
          <w:rFonts w:eastAsia="Times New Roman" w:cs="Times New Roman"/>
          <w:szCs w:val="24"/>
          <w:lang w:eastAsia="en-AU"/>
        </w:rPr>
        <w:t xml:space="preserve">developed as a mechanism to </w:t>
      </w:r>
      <w:r w:rsidR="0037041D">
        <w:rPr>
          <w:rFonts w:eastAsia="Times New Roman" w:cs="Times New Roman"/>
          <w:szCs w:val="24"/>
          <w:lang w:eastAsia="en-AU"/>
        </w:rPr>
        <w:t>assess</w:t>
      </w:r>
      <w:r w:rsidR="00DE3B9F">
        <w:rPr>
          <w:rFonts w:eastAsia="Times New Roman" w:cs="Times New Roman"/>
          <w:szCs w:val="24"/>
          <w:lang w:eastAsia="en-AU"/>
        </w:rPr>
        <w:t xml:space="preserve"> and </w:t>
      </w:r>
      <w:r w:rsidR="00FB31C2">
        <w:rPr>
          <w:rFonts w:eastAsia="Times New Roman" w:cs="Times New Roman"/>
          <w:szCs w:val="24"/>
          <w:lang w:eastAsia="en-AU"/>
        </w:rPr>
        <w:t>categorise</w:t>
      </w:r>
      <w:r w:rsidR="00E410CD" w:rsidRPr="00F81774">
        <w:rPr>
          <w:rFonts w:eastAsia="Times New Roman" w:cs="Times New Roman"/>
          <w:szCs w:val="24"/>
          <w:lang w:eastAsia="en-AU"/>
        </w:rPr>
        <w:t xml:space="preserve"> </w:t>
      </w:r>
      <w:r w:rsidR="0037041D">
        <w:rPr>
          <w:rFonts w:eastAsia="Times New Roman" w:cs="Times New Roman"/>
          <w:szCs w:val="24"/>
          <w:lang w:eastAsia="en-AU"/>
        </w:rPr>
        <w:t xml:space="preserve">the hydrogen carriers </w:t>
      </w:r>
      <w:r w:rsidR="00E410CD">
        <w:rPr>
          <w:rFonts w:eastAsia="Times New Roman" w:cs="Times New Roman"/>
          <w:szCs w:val="24"/>
          <w:lang w:eastAsia="en-AU"/>
        </w:rPr>
        <w:t>(</w:t>
      </w:r>
      <w:r w:rsidR="00E410CD" w:rsidRPr="0073610F">
        <w:rPr>
          <w:rFonts w:eastAsia="Times New Roman" w:cs="Times New Roman"/>
          <w:b/>
          <w:bCs/>
          <w:szCs w:val="24"/>
          <w:lang w:eastAsia="en-AU"/>
        </w:rPr>
        <w:fldChar w:fldCharType="begin"/>
      </w:r>
      <w:r w:rsidR="00E410CD" w:rsidRPr="0073610F">
        <w:rPr>
          <w:rFonts w:eastAsia="Times New Roman" w:cs="Times New Roman"/>
          <w:b/>
          <w:bCs/>
          <w:szCs w:val="24"/>
          <w:lang w:eastAsia="en-AU"/>
        </w:rPr>
        <w:instrText xml:space="preserve"> REF _Ref62207217 \h  \* MERGEFORMAT </w:instrText>
      </w:r>
      <w:r w:rsidR="00E410CD" w:rsidRPr="0073610F">
        <w:rPr>
          <w:rFonts w:eastAsia="Times New Roman" w:cs="Times New Roman"/>
          <w:b/>
          <w:bCs/>
          <w:szCs w:val="24"/>
          <w:lang w:eastAsia="en-AU"/>
        </w:rPr>
      </w:r>
      <w:r w:rsidR="00E410CD" w:rsidRPr="0073610F">
        <w:rPr>
          <w:rFonts w:eastAsia="Times New Roman" w:cs="Times New Roman"/>
          <w:b/>
          <w:bCs/>
          <w:szCs w:val="24"/>
          <w:lang w:eastAsia="en-AU"/>
        </w:rPr>
        <w:fldChar w:fldCharType="separate"/>
      </w:r>
      <w:r w:rsidR="00166507" w:rsidRPr="00166507">
        <w:rPr>
          <w:b/>
          <w:bCs/>
        </w:rPr>
        <w:t xml:space="preserve">Table </w:t>
      </w:r>
      <w:r w:rsidR="00E410CD" w:rsidRPr="0073610F">
        <w:rPr>
          <w:rFonts w:eastAsia="Times New Roman" w:cs="Times New Roman"/>
          <w:b/>
          <w:bCs/>
          <w:szCs w:val="24"/>
          <w:lang w:eastAsia="en-AU"/>
        </w:rPr>
        <w:fldChar w:fldCharType="end"/>
      </w:r>
      <w:r w:rsidR="0073610F" w:rsidRPr="0073610F">
        <w:rPr>
          <w:rFonts w:eastAsia="Times New Roman" w:cs="Times New Roman"/>
          <w:b/>
          <w:bCs/>
          <w:szCs w:val="24"/>
          <w:lang w:eastAsia="en-AU"/>
        </w:rPr>
        <w:t>C2</w:t>
      </w:r>
      <w:r w:rsidR="00E410CD" w:rsidRPr="00B46330">
        <w:rPr>
          <w:rFonts w:eastAsia="Times New Roman" w:cs="Times New Roman"/>
          <w:szCs w:val="24"/>
          <w:lang w:eastAsia="en-AU"/>
        </w:rPr>
        <w:t>).</w:t>
      </w:r>
      <w:r w:rsidR="00E410CD" w:rsidRPr="00F81774">
        <w:rPr>
          <w:rFonts w:eastAsia="Times New Roman" w:cs="Times New Roman"/>
          <w:szCs w:val="24"/>
          <w:lang w:eastAsia="en-AU"/>
        </w:rPr>
        <w:t xml:space="preserve"> </w:t>
      </w:r>
      <w:r>
        <w:rPr>
          <w:rFonts w:eastAsia="Times New Roman" w:cs="Times New Roman"/>
          <w:szCs w:val="24"/>
          <w:lang w:eastAsia="en-AU"/>
        </w:rPr>
        <w:t>T</w:t>
      </w:r>
      <w:r w:rsidR="00E410CD" w:rsidRPr="00F81774">
        <w:rPr>
          <w:rFonts w:eastAsia="Times New Roman" w:cs="Times New Roman"/>
          <w:szCs w:val="24"/>
          <w:lang w:eastAsia="en-AU"/>
        </w:rPr>
        <w:t xml:space="preserve">he </w:t>
      </w:r>
      <w:r w:rsidR="00F50542">
        <w:rPr>
          <w:rFonts w:eastAsia="Times New Roman" w:cs="Times New Roman"/>
          <w:szCs w:val="24"/>
          <w:lang w:eastAsia="en-AU"/>
        </w:rPr>
        <w:t xml:space="preserve">weighting </w:t>
      </w:r>
      <w:r w:rsidR="00FB31C2">
        <w:rPr>
          <w:rFonts w:eastAsia="Times New Roman" w:cs="Times New Roman"/>
          <w:szCs w:val="24"/>
          <w:lang w:eastAsia="en-AU"/>
        </w:rPr>
        <w:t>for</w:t>
      </w:r>
      <w:r w:rsidR="00F50542">
        <w:rPr>
          <w:rFonts w:eastAsia="Times New Roman" w:cs="Times New Roman"/>
          <w:szCs w:val="24"/>
          <w:lang w:eastAsia="en-AU"/>
        </w:rPr>
        <w:t xml:space="preserve"> each carrier will be determined by the user of the MCA tool</w:t>
      </w:r>
      <w:r w:rsidR="007A1E8B">
        <w:rPr>
          <w:rFonts w:eastAsia="Times New Roman" w:cs="Times New Roman"/>
          <w:szCs w:val="24"/>
          <w:lang w:eastAsia="en-AU"/>
        </w:rPr>
        <w:t xml:space="preserve">, </w:t>
      </w:r>
      <w:r w:rsidR="00F30732">
        <w:rPr>
          <w:rFonts w:eastAsia="Times New Roman" w:cs="Times New Roman"/>
          <w:szCs w:val="24"/>
          <w:lang w:eastAsia="en-AU"/>
        </w:rPr>
        <w:t>enabl</w:t>
      </w:r>
      <w:r w:rsidR="00E87BAE">
        <w:rPr>
          <w:rFonts w:eastAsia="Times New Roman" w:cs="Times New Roman"/>
          <w:szCs w:val="24"/>
          <w:lang w:eastAsia="en-AU"/>
        </w:rPr>
        <w:t>ing</w:t>
      </w:r>
      <w:r w:rsidR="00F30732">
        <w:rPr>
          <w:rFonts w:eastAsia="Times New Roman" w:cs="Times New Roman"/>
          <w:szCs w:val="24"/>
          <w:lang w:eastAsia="en-AU"/>
        </w:rPr>
        <w:t xml:space="preserve"> </w:t>
      </w:r>
      <w:r w:rsidR="00FB31C2">
        <w:rPr>
          <w:rFonts w:eastAsia="Times New Roman" w:cs="Times New Roman"/>
          <w:szCs w:val="24"/>
          <w:lang w:eastAsia="en-AU"/>
        </w:rPr>
        <w:t xml:space="preserve">users to prioritise </w:t>
      </w:r>
      <w:r w:rsidR="008465FE">
        <w:rPr>
          <w:rFonts w:eastAsia="Times New Roman" w:cs="Times New Roman"/>
          <w:szCs w:val="24"/>
          <w:lang w:eastAsia="en-AU"/>
        </w:rPr>
        <w:t xml:space="preserve">criterion based </w:t>
      </w:r>
      <w:r w:rsidR="00F00501">
        <w:rPr>
          <w:rFonts w:eastAsia="Times New Roman" w:cs="Times New Roman"/>
          <w:szCs w:val="24"/>
          <w:lang w:eastAsia="en-AU"/>
        </w:rPr>
        <w:t xml:space="preserve">on </w:t>
      </w:r>
      <w:r w:rsidR="008465FE">
        <w:rPr>
          <w:rFonts w:eastAsia="Times New Roman" w:cs="Times New Roman"/>
          <w:szCs w:val="24"/>
          <w:lang w:eastAsia="en-AU"/>
        </w:rPr>
        <w:t xml:space="preserve">their desired offtake </w:t>
      </w:r>
      <w:r w:rsidR="002B0C54">
        <w:rPr>
          <w:rFonts w:eastAsia="Times New Roman" w:cs="Times New Roman"/>
          <w:szCs w:val="24"/>
          <w:lang w:eastAsia="en-AU"/>
        </w:rPr>
        <w:t xml:space="preserve">requirements </w:t>
      </w:r>
      <w:r w:rsidR="00FB31C2">
        <w:rPr>
          <w:rFonts w:eastAsia="Times New Roman" w:cs="Times New Roman"/>
          <w:szCs w:val="24"/>
          <w:lang w:eastAsia="en-AU"/>
        </w:rPr>
        <w:t>(</w:t>
      </w:r>
      <w:proofErr w:type="gramStart"/>
      <w:r w:rsidR="00FB31C2">
        <w:rPr>
          <w:rFonts w:eastAsia="Times New Roman" w:cs="Times New Roman"/>
          <w:szCs w:val="24"/>
          <w:lang w:eastAsia="en-AU"/>
        </w:rPr>
        <w:t>i.e.</w:t>
      </w:r>
      <w:proofErr w:type="gramEnd"/>
      <w:r w:rsidR="00FB31C2">
        <w:rPr>
          <w:rFonts w:eastAsia="Times New Roman" w:cs="Times New Roman"/>
          <w:szCs w:val="24"/>
          <w:lang w:eastAsia="en-AU"/>
        </w:rPr>
        <w:t xml:space="preserve"> </w:t>
      </w:r>
      <w:r w:rsidR="002B0C54">
        <w:rPr>
          <w:rFonts w:eastAsia="Times New Roman" w:cs="Times New Roman"/>
          <w:szCs w:val="24"/>
          <w:lang w:eastAsia="en-AU"/>
        </w:rPr>
        <w:t>zero emission</w:t>
      </w:r>
      <w:r w:rsidR="00FB31C2">
        <w:rPr>
          <w:rFonts w:eastAsia="Times New Roman" w:cs="Times New Roman"/>
          <w:szCs w:val="24"/>
          <w:lang w:eastAsia="en-AU"/>
        </w:rPr>
        <w:t xml:space="preserve"> focused or energy export focused).</w:t>
      </w:r>
    </w:p>
    <w:p w14:paraId="5690CCA6" w14:textId="051AE85A" w:rsidR="00E410CD" w:rsidRPr="00DB08A2" w:rsidRDefault="00E410CD" w:rsidP="003469C0">
      <w:pPr>
        <w:pStyle w:val="Caption"/>
        <w:keepNext/>
        <w:spacing w:before="80" w:after="80"/>
        <w:rPr>
          <w:i/>
          <w:iCs/>
          <w:sz w:val="18"/>
          <w:szCs w:val="20"/>
        </w:rPr>
      </w:pPr>
      <w:bookmarkStart w:id="1" w:name="_Ref62207217"/>
      <w:r w:rsidRPr="00DB08A2">
        <w:rPr>
          <w:sz w:val="18"/>
          <w:szCs w:val="20"/>
        </w:rPr>
        <w:t xml:space="preserve">Table </w:t>
      </w:r>
      <w:bookmarkEnd w:id="1"/>
      <w:r w:rsidR="0073610F">
        <w:rPr>
          <w:sz w:val="18"/>
          <w:szCs w:val="20"/>
        </w:rPr>
        <w:t>C</w:t>
      </w:r>
      <w:r w:rsidR="001D5E07">
        <w:rPr>
          <w:sz w:val="18"/>
          <w:szCs w:val="20"/>
        </w:rPr>
        <w:t>2.</w:t>
      </w:r>
      <w:r w:rsidRPr="00DB08A2">
        <w:rPr>
          <w:sz w:val="18"/>
          <w:szCs w:val="20"/>
        </w:rPr>
        <w:t xml:space="preserve"> Determination of the evaluation bands for hydrogen carrier transportation and storage.</w:t>
      </w:r>
    </w:p>
    <w:tbl>
      <w:tblPr>
        <w:tblStyle w:val="TableGrid"/>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1305"/>
        <w:gridCol w:w="1305"/>
        <w:gridCol w:w="1305"/>
        <w:gridCol w:w="1305"/>
        <w:gridCol w:w="1306"/>
      </w:tblGrid>
      <w:tr w:rsidR="00E410CD" w:rsidRPr="00F81774" w14:paraId="665C3241" w14:textId="77777777" w:rsidTr="23251328">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hideMark/>
          </w:tcPr>
          <w:p w14:paraId="0C07EDC0" w14:textId="77777777" w:rsidR="00E410CD" w:rsidRPr="004C465F" w:rsidRDefault="00E410CD" w:rsidP="003469C0">
            <w:pPr>
              <w:spacing w:before="80" w:after="80"/>
              <w:rPr>
                <w:rFonts w:eastAsia="Times New Roman" w:cs="Times New Roman"/>
                <w:color w:val="auto"/>
                <w:sz w:val="18"/>
                <w:szCs w:val="18"/>
                <w:lang w:eastAsia="en-AU"/>
              </w:rPr>
            </w:pPr>
            <w:r w:rsidRPr="004C465F">
              <w:rPr>
                <w:rFonts w:eastAsia="Times New Roman" w:cs="Times New Roman"/>
                <w:color w:val="auto"/>
                <w:sz w:val="18"/>
                <w:szCs w:val="18"/>
                <w:lang w:eastAsia="en-AU"/>
              </w:rPr>
              <w:t>Evaluation Bands</w:t>
            </w:r>
          </w:p>
        </w:tc>
        <w:tc>
          <w:tcPr>
            <w:tcW w:w="1305" w:type="dxa"/>
            <w:noWrap/>
            <w:hideMark/>
          </w:tcPr>
          <w:p w14:paraId="27389261" w14:textId="77777777" w:rsidR="00E410CD" w:rsidRPr="004C465F" w:rsidRDefault="00E410CD" w:rsidP="003469C0">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4C465F">
              <w:rPr>
                <w:rFonts w:eastAsia="Times New Roman" w:cs="Times New Roman"/>
                <w:color w:val="auto"/>
                <w:sz w:val="18"/>
                <w:szCs w:val="18"/>
                <w:lang w:eastAsia="en-AU"/>
              </w:rPr>
              <w:t>1</w:t>
            </w:r>
          </w:p>
        </w:tc>
        <w:tc>
          <w:tcPr>
            <w:tcW w:w="1305" w:type="dxa"/>
            <w:noWrap/>
            <w:hideMark/>
          </w:tcPr>
          <w:p w14:paraId="40544C7C" w14:textId="77777777" w:rsidR="00E410CD" w:rsidRPr="004C465F" w:rsidRDefault="00E410CD" w:rsidP="003469C0">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4C465F">
              <w:rPr>
                <w:rFonts w:eastAsia="Times New Roman" w:cs="Times New Roman"/>
                <w:color w:val="auto"/>
                <w:sz w:val="18"/>
                <w:szCs w:val="18"/>
                <w:lang w:eastAsia="en-AU"/>
              </w:rPr>
              <w:t>2</w:t>
            </w:r>
          </w:p>
        </w:tc>
        <w:tc>
          <w:tcPr>
            <w:tcW w:w="1305" w:type="dxa"/>
            <w:noWrap/>
            <w:hideMark/>
          </w:tcPr>
          <w:p w14:paraId="7D070231" w14:textId="77777777" w:rsidR="00E410CD" w:rsidRPr="004C465F" w:rsidRDefault="00E410CD" w:rsidP="003469C0">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4C465F">
              <w:rPr>
                <w:rFonts w:eastAsia="Times New Roman" w:cs="Times New Roman"/>
                <w:color w:val="auto"/>
                <w:sz w:val="18"/>
                <w:szCs w:val="18"/>
                <w:lang w:eastAsia="en-AU"/>
              </w:rPr>
              <w:t>3</w:t>
            </w:r>
          </w:p>
        </w:tc>
        <w:tc>
          <w:tcPr>
            <w:tcW w:w="1305" w:type="dxa"/>
            <w:noWrap/>
            <w:hideMark/>
          </w:tcPr>
          <w:p w14:paraId="10EC0724" w14:textId="77777777" w:rsidR="00E410CD" w:rsidRPr="004C465F" w:rsidRDefault="00E410CD" w:rsidP="003469C0">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4C465F">
              <w:rPr>
                <w:rFonts w:eastAsia="Times New Roman" w:cs="Times New Roman"/>
                <w:color w:val="auto"/>
                <w:sz w:val="18"/>
                <w:szCs w:val="18"/>
                <w:lang w:eastAsia="en-AU"/>
              </w:rPr>
              <w:t>4</w:t>
            </w:r>
          </w:p>
        </w:tc>
        <w:tc>
          <w:tcPr>
            <w:tcW w:w="1306" w:type="dxa"/>
            <w:noWrap/>
            <w:hideMark/>
          </w:tcPr>
          <w:p w14:paraId="49DAB4F0" w14:textId="77777777" w:rsidR="00E410CD" w:rsidRPr="004C465F" w:rsidRDefault="00E410CD" w:rsidP="003469C0">
            <w:pPr>
              <w:spacing w:before="80" w:after="8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4C465F">
              <w:rPr>
                <w:rFonts w:eastAsia="Times New Roman" w:cs="Times New Roman"/>
                <w:color w:val="auto"/>
                <w:sz w:val="18"/>
                <w:szCs w:val="18"/>
                <w:lang w:eastAsia="en-AU"/>
              </w:rPr>
              <w:t>5</w:t>
            </w:r>
          </w:p>
        </w:tc>
      </w:tr>
      <w:tr w:rsidR="001530C6" w:rsidRPr="00F81774" w14:paraId="0BFFEAC5" w14:textId="77777777" w:rsidTr="23251328">
        <w:trPr>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tcPr>
          <w:p w14:paraId="515C0D82" w14:textId="73D1FA57" w:rsidR="001530C6" w:rsidRPr="001530C6" w:rsidRDefault="001530C6" w:rsidP="003469C0">
            <w:pPr>
              <w:spacing w:before="80" w:after="80"/>
              <w:rPr>
                <w:rFonts w:eastAsia="Times New Roman" w:cs="Times New Roman"/>
                <w:color w:val="auto"/>
                <w:sz w:val="18"/>
                <w:szCs w:val="18"/>
                <w:lang w:eastAsia="en-AU"/>
              </w:rPr>
            </w:pPr>
            <w:r w:rsidRPr="001530C6">
              <w:rPr>
                <w:sz w:val="18"/>
                <w:szCs w:val="18"/>
              </w:rPr>
              <w:t>TRL</w:t>
            </w:r>
          </w:p>
        </w:tc>
        <w:tc>
          <w:tcPr>
            <w:tcW w:w="1305" w:type="dxa"/>
            <w:noWrap/>
          </w:tcPr>
          <w:p w14:paraId="537F17A8" w14:textId="597DCE52" w:rsidR="001530C6" w:rsidRPr="001530C6" w:rsidRDefault="001530C6" w:rsidP="003469C0">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1530C6">
              <w:rPr>
                <w:sz w:val="18"/>
                <w:szCs w:val="18"/>
              </w:rPr>
              <w:t>1.0 - 3.0</w:t>
            </w:r>
          </w:p>
        </w:tc>
        <w:tc>
          <w:tcPr>
            <w:tcW w:w="1305" w:type="dxa"/>
            <w:noWrap/>
          </w:tcPr>
          <w:p w14:paraId="4DBB634B" w14:textId="4A60FD39" w:rsidR="001530C6" w:rsidRPr="001530C6" w:rsidRDefault="001530C6" w:rsidP="003469C0">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1530C6">
              <w:rPr>
                <w:sz w:val="18"/>
                <w:szCs w:val="18"/>
              </w:rPr>
              <w:t>4.0 - 6.0</w:t>
            </w:r>
          </w:p>
        </w:tc>
        <w:tc>
          <w:tcPr>
            <w:tcW w:w="1305" w:type="dxa"/>
            <w:noWrap/>
          </w:tcPr>
          <w:p w14:paraId="28DD173A" w14:textId="05DF60F5" w:rsidR="001530C6" w:rsidRPr="001530C6" w:rsidRDefault="001530C6" w:rsidP="003469C0">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1530C6">
              <w:rPr>
                <w:sz w:val="18"/>
                <w:szCs w:val="18"/>
              </w:rPr>
              <w:t>7</w:t>
            </w:r>
          </w:p>
        </w:tc>
        <w:tc>
          <w:tcPr>
            <w:tcW w:w="1305" w:type="dxa"/>
            <w:noWrap/>
          </w:tcPr>
          <w:p w14:paraId="44D0E3E3" w14:textId="65974409" w:rsidR="001530C6" w:rsidRPr="001530C6" w:rsidRDefault="001530C6" w:rsidP="003469C0">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1530C6">
              <w:rPr>
                <w:sz w:val="18"/>
                <w:szCs w:val="18"/>
              </w:rPr>
              <w:t>8</w:t>
            </w:r>
          </w:p>
        </w:tc>
        <w:tc>
          <w:tcPr>
            <w:tcW w:w="1306" w:type="dxa"/>
            <w:noWrap/>
          </w:tcPr>
          <w:p w14:paraId="1CC350D0" w14:textId="7719ED79" w:rsidR="001530C6" w:rsidRPr="001530C6" w:rsidRDefault="001530C6" w:rsidP="003469C0">
            <w:pPr>
              <w:spacing w:before="80" w:after="8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18"/>
                <w:szCs w:val="18"/>
                <w:lang w:eastAsia="en-AU"/>
              </w:rPr>
            </w:pPr>
            <w:r w:rsidRPr="001530C6">
              <w:rPr>
                <w:sz w:val="18"/>
                <w:szCs w:val="18"/>
              </w:rPr>
              <w:t>9</w:t>
            </w:r>
          </w:p>
        </w:tc>
      </w:tr>
      <w:tr w:rsidR="006B0198" w:rsidRPr="00F81774" w14:paraId="65AC5EE3" w14:textId="77777777" w:rsidTr="00BD634E">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hideMark/>
          </w:tcPr>
          <w:p w14:paraId="64606FC9" w14:textId="451D447F" w:rsidR="006B0198" w:rsidRPr="006B0198" w:rsidRDefault="006B0198" w:rsidP="003469C0">
            <w:pPr>
              <w:spacing w:before="80" w:after="80"/>
              <w:rPr>
                <w:sz w:val="18"/>
                <w:szCs w:val="18"/>
              </w:rPr>
            </w:pPr>
            <w:r w:rsidRPr="006B0198">
              <w:rPr>
                <w:sz w:val="18"/>
                <w:szCs w:val="18"/>
              </w:rPr>
              <w:t xml:space="preserve">CAPEX </w:t>
            </w:r>
            <w:r w:rsidRPr="006B0198">
              <w:rPr>
                <w:b w:val="0"/>
                <w:bCs/>
                <w:sz w:val="18"/>
                <w:szCs w:val="18"/>
              </w:rPr>
              <w:t>(A$ kWh</w:t>
            </w:r>
            <w:r w:rsidRPr="003469C0">
              <w:rPr>
                <w:b w:val="0"/>
                <w:bCs/>
                <w:sz w:val="18"/>
                <w:szCs w:val="18"/>
                <w:vertAlign w:val="superscript"/>
              </w:rPr>
              <w:t>-1</w:t>
            </w:r>
            <w:r w:rsidRPr="006B0198">
              <w:rPr>
                <w:b w:val="0"/>
                <w:bCs/>
                <w:sz w:val="18"/>
                <w:szCs w:val="18"/>
              </w:rPr>
              <w:t xml:space="preserve"> annum</w:t>
            </w:r>
            <w:r w:rsidRPr="003469C0">
              <w:rPr>
                <w:b w:val="0"/>
                <w:bCs/>
                <w:sz w:val="18"/>
                <w:szCs w:val="18"/>
                <w:vertAlign w:val="superscript"/>
              </w:rPr>
              <w:t>-1</w:t>
            </w:r>
            <w:r w:rsidRPr="006B0198">
              <w:rPr>
                <w:b w:val="0"/>
                <w:bCs/>
                <w:sz w:val="18"/>
                <w:szCs w:val="18"/>
              </w:rPr>
              <w:t>)</w:t>
            </w:r>
          </w:p>
        </w:tc>
        <w:tc>
          <w:tcPr>
            <w:tcW w:w="1305" w:type="dxa"/>
            <w:noWrap/>
            <w:vAlign w:val="bottom"/>
            <w:hideMark/>
          </w:tcPr>
          <w:p w14:paraId="62AD621C" w14:textId="43CAA461"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&gt;1</w:t>
            </w:r>
          </w:p>
        </w:tc>
        <w:tc>
          <w:tcPr>
            <w:tcW w:w="1305" w:type="dxa"/>
            <w:noWrap/>
            <w:vAlign w:val="bottom"/>
            <w:hideMark/>
          </w:tcPr>
          <w:p w14:paraId="3099C22F" w14:textId="35EF0B6C"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1 - 0.8</w:t>
            </w:r>
          </w:p>
        </w:tc>
        <w:tc>
          <w:tcPr>
            <w:tcW w:w="1305" w:type="dxa"/>
            <w:noWrap/>
            <w:vAlign w:val="bottom"/>
            <w:hideMark/>
          </w:tcPr>
          <w:p w14:paraId="15BB6223" w14:textId="4A36EFCD"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0.8 - 0.6</w:t>
            </w:r>
          </w:p>
        </w:tc>
        <w:tc>
          <w:tcPr>
            <w:tcW w:w="1305" w:type="dxa"/>
            <w:noWrap/>
            <w:vAlign w:val="bottom"/>
            <w:hideMark/>
          </w:tcPr>
          <w:p w14:paraId="50B0A31E" w14:textId="17B46E26"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0.6 - 0.4</w:t>
            </w:r>
          </w:p>
        </w:tc>
        <w:tc>
          <w:tcPr>
            <w:tcW w:w="1306" w:type="dxa"/>
            <w:noWrap/>
            <w:vAlign w:val="bottom"/>
            <w:hideMark/>
          </w:tcPr>
          <w:p w14:paraId="236E9DE7" w14:textId="11D251BE"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&lt;0.4</w:t>
            </w:r>
          </w:p>
        </w:tc>
      </w:tr>
      <w:tr w:rsidR="006B0198" w:rsidRPr="00F81774" w14:paraId="466E93D7" w14:textId="77777777" w:rsidTr="00BD634E">
        <w:trPr>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hideMark/>
          </w:tcPr>
          <w:p w14:paraId="20C11E9B" w14:textId="6EF53114" w:rsidR="006B0198" w:rsidRPr="006B0198" w:rsidRDefault="006B0198" w:rsidP="003469C0">
            <w:pPr>
              <w:spacing w:before="80" w:after="80"/>
              <w:rPr>
                <w:sz w:val="18"/>
                <w:szCs w:val="18"/>
              </w:rPr>
            </w:pPr>
            <w:r w:rsidRPr="006B0198">
              <w:rPr>
                <w:sz w:val="18"/>
                <w:szCs w:val="18"/>
              </w:rPr>
              <w:t xml:space="preserve">OPEX </w:t>
            </w:r>
            <w:r w:rsidRPr="006B0198">
              <w:rPr>
                <w:b w:val="0"/>
                <w:bCs/>
                <w:sz w:val="18"/>
                <w:szCs w:val="18"/>
              </w:rPr>
              <w:t>(A$ kWh</w:t>
            </w:r>
            <w:r w:rsidRPr="003469C0">
              <w:rPr>
                <w:b w:val="0"/>
                <w:bCs/>
                <w:sz w:val="18"/>
                <w:szCs w:val="18"/>
                <w:vertAlign w:val="superscript"/>
              </w:rPr>
              <w:t>-1</w:t>
            </w:r>
            <w:r w:rsidRPr="006B0198">
              <w:rPr>
                <w:b w:val="0"/>
                <w:bCs/>
                <w:sz w:val="18"/>
                <w:szCs w:val="18"/>
              </w:rPr>
              <w:t xml:space="preserve"> annum</w:t>
            </w:r>
            <w:r w:rsidRPr="003469C0">
              <w:rPr>
                <w:b w:val="0"/>
                <w:bCs/>
                <w:sz w:val="18"/>
                <w:szCs w:val="18"/>
                <w:vertAlign w:val="superscript"/>
              </w:rPr>
              <w:t>-1</w:t>
            </w:r>
            <w:r w:rsidRPr="006B0198">
              <w:rPr>
                <w:b w:val="0"/>
                <w:bCs/>
                <w:sz w:val="18"/>
                <w:szCs w:val="18"/>
              </w:rPr>
              <w:t>)</w:t>
            </w:r>
          </w:p>
        </w:tc>
        <w:tc>
          <w:tcPr>
            <w:tcW w:w="1305" w:type="dxa"/>
            <w:noWrap/>
            <w:vAlign w:val="bottom"/>
            <w:hideMark/>
          </w:tcPr>
          <w:p w14:paraId="2BBFE89E" w14:textId="2EBC6CA5"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&gt;0.8</w:t>
            </w:r>
          </w:p>
        </w:tc>
        <w:tc>
          <w:tcPr>
            <w:tcW w:w="1305" w:type="dxa"/>
            <w:noWrap/>
            <w:vAlign w:val="bottom"/>
            <w:hideMark/>
          </w:tcPr>
          <w:p w14:paraId="7C4BB3BC" w14:textId="6C6727CD"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0.6 - 0.8</w:t>
            </w:r>
          </w:p>
        </w:tc>
        <w:tc>
          <w:tcPr>
            <w:tcW w:w="1305" w:type="dxa"/>
            <w:noWrap/>
            <w:vAlign w:val="bottom"/>
            <w:hideMark/>
          </w:tcPr>
          <w:p w14:paraId="7F3B384B" w14:textId="53582A15"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0.4 - 0.6</w:t>
            </w:r>
          </w:p>
        </w:tc>
        <w:tc>
          <w:tcPr>
            <w:tcW w:w="1305" w:type="dxa"/>
            <w:noWrap/>
            <w:vAlign w:val="bottom"/>
            <w:hideMark/>
          </w:tcPr>
          <w:p w14:paraId="1DEB7EF9" w14:textId="2D6805BE"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0.2 - 0.4</w:t>
            </w:r>
          </w:p>
        </w:tc>
        <w:tc>
          <w:tcPr>
            <w:tcW w:w="1306" w:type="dxa"/>
            <w:noWrap/>
            <w:vAlign w:val="bottom"/>
            <w:hideMark/>
          </w:tcPr>
          <w:p w14:paraId="6E72D552" w14:textId="444D19E9"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&lt;0.2</w:t>
            </w:r>
          </w:p>
        </w:tc>
      </w:tr>
      <w:tr w:rsidR="006B0198" w:rsidRPr="00F81774" w14:paraId="0232E76E" w14:textId="77777777" w:rsidTr="00BD634E">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tcPr>
          <w:p w14:paraId="7CD87B44" w14:textId="789F20DD" w:rsidR="006B0198" w:rsidRPr="006B0198" w:rsidRDefault="006B0198" w:rsidP="003469C0">
            <w:pPr>
              <w:spacing w:before="80" w:after="80"/>
              <w:rPr>
                <w:sz w:val="18"/>
                <w:szCs w:val="18"/>
              </w:rPr>
            </w:pPr>
            <w:r w:rsidRPr="006B0198">
              <w:rPr>
                <w:sz w:val="18"/>
                <w:szCs w:val="18"/>
              </w:rPr>
              <w:t xml:space="preserve">Hydrogen Storage Density </w:t>
            </w:r>
            <w:r w:rsidRPr="006B0198">
              <w:rPr>
                <w:b w:val="0"/>
                <w:bCs/>
                <w:sz w:val="18"/>
                <w:szCs w:val="18"/>
              </w:rPr>
              <w:t>(</w:t>
            </w:r>
            <w:proofErr w:type="spellStart"/>
            <w:r w:rsidRPr="006B0198">
              <w:rPr>
                <w:b w:val="0"/>
                <w:bCs/>
                <w:sz w:val="18"/>
                <w:szCs w:val="18"/>
              </w:rPr>
              <w:t>wt</w:t>
            </w:r>
            <w:proofErr w:type="spellEnd"/>
            <w:r w:rsidRPr="006B0198">
              <w:rPr>
                <w:b w:val="0"/>
                <w:bCs/>
                <w:sz w:val="18"/>
                <w:szCs w:val="18"/>
              </w:rPr>
              <w:t>% hydrogen)</w:t>
            </w:r>
          </w:p>
        </w:tc>
        <w:tc>
          <w:tcPr>
            <w:tcW w:w="1305" w:type="dxa"/>
            <w:noWrap/>
            <w:vAlign w:val="bottom"/>
          </w:tcPr>
          <w:p w14:paraId="17FDCE4D" w14:textId="241522A8"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&lt;10</w:t>
            </w:r>
          </w:p>
        </w:tc>
        <w:tc>
          <w:tcPr>
            <w:tcW w:w="1305" w:type="dxa"/>
            <w:noWrap/>
            <w:vAlign w:val="bottom"/>
          </w:tcPr>
          <w:p w14:paraId="7EE01757" w14:textId="59DF5614"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10-15</w:t>
            </w:r>
          </w:p>
        </w:tc>
        <w:tc>
          <w:tcPr>
            <w:tcW w:w="1305" w:type="dxa"/>
            <w:noWrap/>
            <w:vAlign w:val="bottom"/>
          </w:tcPr>
          <w:p w14:paraId="75EC6DB9" w14:textId="67F62F4E"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15-20</w:t>
            </w:r>
          </w:p>
        </w:tc>
        <w:tc>
          <w:tcPr>
            <w:tcW w:w="1305" w:type="dxa"/>
            <w:noWrap/>
            <w:vAlign w:val="bottom"/>
          </w:tcPr>
          <w:p w14:paraId="0A3A3BA2" w14:textId="6A81AEB5"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20-25</w:t>
            </w:r>
          </w:p>
        </w:tc>
        <w:tc>
          <w:tcPr>
            <w:tcW w:w="1306" w:type="dxa"/>
            <w:noWrap/>
            <w:vAlign w:val="bottom"/>
          </w:tcPr>
          <w:p w14:paraId="770E7F34" w14:textId="0C183AC3"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&gt;25</w:t>
            </w:r>
          </w:p>
        </w:tc>
      </w:tr>
      <w:tr w:rsidR="006B0198" w:rsidRPr="00F81774" w14:paraId="6AE8B4A2" w14:textId="77777777" w:rsidTr="00BD634E">
        <w:trPr>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tcPr>
          <w:p w14:paraId="3EE4915A" w14:textId="54E03B77" w:rsidR="006B0198" w:rsidRPr="006B0198" w:rsidRDefault="006B0198" w:rsidP="003469C0">
            <w:pPr>
              <w:spacing w:before="80" w:after="80"/>
              <w:rPr>
                <w:sz w:val="18"/>
                <w:szCs w:val="18"/>
              </w:rPr>
            </w:pPr>
            <w:r w:rsidRPr="006B0198">
              <w:rPr>
                <w:sz w:val="18"/>
                <w:szCs w:val="18"/>
              </w:rPr>
              <w:t xml:space="preserve">Gravimetric Energy Density </w:t>
            </w:r>
            <w:r w:rsidRPr="006B0198">
              <w:rPr>
                <w:b w:val="0"/>
                <w:bCs/>
                <w:sz w:val="18"/>
                <w:szCs w:val="18"/>
              </w:rPr>
              <w:t>(MJ kg</w:t>
            </w:r>
            <w:r w:rsidRPr="003469C0">
              <w:rPr>
                <w:b w:val="0"/>
                <w:bCs/>
                <w:sz w:val="18"/>
                <w:szCs w:val="18"/>
                <w:vertAlign w:val="superscript"/>
              </w:rPr>
              <w:t>-1</w:t>
            </w:r>
            <w:r w:rsidRPr="006B0198">
              <w:rPr>
                <w:b w:val="0"/>
                <w:bCs/>
                <w:sz w:val="18"/>
                <w:szCs w:val="18"/>
              </w:rPr>
              <w:t>)</w:t>
            </w:r>
          </w:p>
        </w:tc>
        <w:tc>
          <w:tcPr>
            <w:tcW w:w="1305" w:type="dxa"/>
            <w:noWrap/>
            <w:vAlign w:val="bottom"/>
          </w:tcPr>
          <w:p w14:paraId="61A8EE07" w14:textId="1892F8A0"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&lt;10</w:t>
            </w:r>
          </w:p>
        </w:tc>
        <w:tc>
          <w:tcPr>
            <w:tcW w:w="1305" w:type="dxa"/>
            <w:noWrap/>
            <w:vAlign w:val="bottom"/>
          </w:tcPr>
          <w:p w14:paraId="28C0758F" w14:textId="5958C4ED"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10 - 20</w:t>
            </w:r>
          </w:p>
        </w:tc>
        <w:tc>
          <w:tcPr>
            <w:tcW w:w="1305" w:type="dxa"/>
            <w:noWrap/>
            <w:vAlign w:val="bottom"/>
          </w:tcPr>
          <w:p w14:paraId="7A6AC1D1" w14:textId="3D8797C8"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20 - 30</w:t>
            </w:r>
          </w:p>
        </w:tc>
        <w:tc>
          <w:tcPr>
            <w:tcW w:w="1305" w:type="dxa"/>
            <w:noWrap/>
            <w:vAlign w:val="bottom"/>
          </w:tcPr>
          <w:p w14:paraId="6C9A6B14" w14:textId="15D6ABC6"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30 - 50</w:t>
            </w:r>
          </w:p>
        </w:tc>
        <w:tc>
          <w:tcPr>
            <w:tcW w:w="1306" w:type="dxa"/>
            <w:noWrap/>
            <w:vAlign w:val="bottom"/>
          </w:tcPr>
          <w:p w14:paraId="7B0ADDB7" w14:textId="678895C8"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&gt;50</w:t>
            </w:r>
          </w:p>
        </w:tc>
      </w:tr>
      <w:tr w:rsidR="006B0198" w:rsidRPr="00F81774" w14:paraId="73CF698C" w14:textId="77777777" w:rsidTr="00BD634E">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tcPr>
          <w:p w14:paraId="6E23525C" w14:textId="63436ED0" w:rsidR="006B0198" w:rsidRPr="006B0198" w:rsidRDefault="006B0198" w:rsidP="003469C0">
            <w:pPr>
              <w:spacing w:before="80" w:after="80"/>
              <w:rPr>
                <w:sz w:val="18"/>
                <w:szCs w:val="18"/>
              </w:rPr>
            </w:pPr>
            <w:r w:rsidRPr="006B0198">
              <w:rPr>
                <w:sz w:val="18"/>
                <w:szCs w:val="18"/>
              </w:rPr>
              <w:t xml:space="preserve">Volumetric Energy Density </w:t>
            </w:r>
            <w:r w:rsidRPr="006B0198">
              <w:rPr>
                <w:b w:val="0"/>
                <w:bCs/>
                <w:sz w:val="18"/>
                <w:szCs w:val="18"/>
              </w:rPr>
              <w:t>(MJ L</w:t>
            </w:r>
            <w:r w:rsidRPr="003469C0">
              <w:rPr>
                <w:b w:val="0"/>
                <w:bCs/>
                <w:sz w:val="18"/>
                <w:szCs w:val="18"/>
                <w:vertAlign w:val="superscript"/>
              </w:rPr>
              <w:t>-1</w:t>
            </w:r>
            <w:r w:rsidRPr="006B0198">
              <w:rPr>
                <w:b w:val="0"/>
                <w:bCs/>
                <w:sz w:val="18"/>
                <w:szCs w:val="18"/>
              </w:rPr>
              <w:t>)</w:t>
            </w:r>
          </w:p>
        </w:tc>
        <w:tc>
          <w:tcPr>
            <w:tcW w:w="1305" w:type="dxa"/>
            <w:noWrap/>
            <w:vAlign w:val="bottom"/>
          </w:tcPr>
          <w:p w14:paraId="5C1B8576" w14:textId="7DE7051A"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&lt;10</w:t>
            </w:r>
          </w:p>
        </w:tc>
        <w:tc>
          <w:tcPr>
            <w:tcW w:w="1305" w:type="dxa"/>
            <w:noWrap/>
            <w:vAlign w:val="bottom"/>
          </w:tcPr>
          <w:p w14:paraId="26DBEB64" w14:textId="22BBA26B"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10-12</w:t>
            </w:r>
          </w:p>
        </w:tc>
        <w:tc>
          <w:tcPr>
            <w:tcW w:w="1305" w:type="dxa"/>
            <w:noWrap/>
            <w:vAlign w:val="bottom"/>
          </w:tcPr>
          <w:p w14:paraId="5DE227E7" w14:textId="1352B2F9"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12-14</w:t>
            </w:r>
          </w:p>
        </w:tc>
        <w:tc>
          <w:tcPr>
            <w:tcW w:w="1305" w:type="dxa"/>
            <w:noWrap/>
            <w:vAlign w:val="bottom"/>
          </w:tcPr>
          <w:p w14:paraId="4821BB2F" w14:textId="66A8B499"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14-16</w:t>
            </w:r>
          </w:p>
        </w:tc>
        <w:tc>
          <w:tcPr>
            <w:tcW w:w="1306" w:type="dxa"/>
            <w:noWrap/>
            <w:vAlign w:val="bottom"/>
          </w:tcPr>
          <w:p w14:paraId="5116D3FD" w14:textId="71254FFC"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&gt;16</w:t>
            </w:r>
          </w:p>
        </w:tc>
      </w:tr>
      <w:tr w:rsidR="006B0198" w:rsidRPr="00F81774" w14:paraId="568B7BB7" w14:textId="77777777" w:rsidTr="00BD634E">
        <w:trPr>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tcPr>
          <w:p w14:paraId="59901E37" w14:textId="19275F74" w:rsidR="006B0198" w:rsidRPr="006B0198" w:rsidRDefault="006B0198" w:rsidP="003469C0">
            <w:pPr>
              <w:spacing w:before="80" w:after="80"/>
              <w:rPr>
                <w:sz w:val="18"/>
                <w:szCs w:val="18"/>
              </w:rPr>
            </w:pPr>
            <w:r w:rsidRPr="006B0198">
              <w:rPr>
                <w:sz w:val="18"/>
                <w:szCs w:val="18"/>
              </w:rPr>
              <w:t xml:space="preserve">Carrier Yield Loss by Transportation </w:t>
            </w:r>
            <w:r w:rsidRPr="006B0198">
              <w:rPr>
                <w:b w:val="0"/>
                <w:bCs/>
                <w:sz w:val="18"/>
                <w:szCs w:val="18"/>
              </w:rPr>
              <w:t>(%)</w:t>
            </w:r>
          </w:p>
        </w:tc>
        <w:tc>
          <w:tcPr>
            <w:tcW w:w="1305" w:type="dxa"/>
            <w:noWrap/>
            <w:vAlign w:val="bottom"/>
          </w:tcPr>
          <w:p w14:paraId="08E41C05" w14:textId="59A25B62"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&gt;0.033</w:t>
            </w:r>
          </w:p>
        </w:tc>
        <w:tc>
          <w:tcPr>
            <w:tcW w:w="1305" w:type="dxa"/>
            <w:noWrap/>
            <w:vAlign w:val="bottom"/>
          </w:tcPr>
          <w:p w14:paraId="32139ED8" w14:textId="4498ACE5"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0.025-0.033</w:t>
            </w:r>
          </w:p>
        </w:tc>
        <w:tc>
          <w:tcPr>
            <w:tcW w:w="1305" w:type="dxa"/>
            <w:noWrap/>
            <w:vAlign w:val="bottom"/>
          </w:tcPr>
          <w:p w14:paraId="35C192B2" w14:textId="302DB56B"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0.017-0.025</w:t>
            </w:r>
          </w:p>
        </w:tc>
        <w:tc>
          <w:tcPr>
            <w:tcW w:w="1305" w:type="dxa"/>
            <w:noWrap/>
            <w:vAlign w:val="bottom"/>
          </w:tcPr>
          <w:p w14:paraId="5E25826A" w14:textId="649596BF"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0.008-0.017</w:t>
            </w:r>
          </w:p>
        </w:tc>
        <w:tc>
          <w:tcPr>
            <w:tcW w:w="1306" w:type="dxa"/>
            <w:noWrap/>
            <w:vAlign w:val="bottom"/>
          </w:tcPr>
          <w:p w14:paraId="60090ED9" w14:textId="59C50529" w:rsidR="006B0198" w:rsidRPr="00DF3FDF" w:rsidRDefault="006B0198" w:rsidP="003469C0">
            <w:pPr>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DF3FDF">
              <w:rPr>
                <w:sz w:val="18"/>
                <w:szCs w:val="18"/>
              </w:rPr>
              <w:t>&lt;0.008</w:t>
            </w:r>
          </w:p>
        </w:tc>
      </w:tr>
      <w:tr w:rsidR="006B0198" w:rsidRPr="00F81774" w14:paraId="51065D50" w14:textId="77777777" w:rsidTr="00BD634E">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hideMark/>
          </w:tcPr>
          <w:p w14:paraId="1B2A6C0F" w14:textId="1D4E21CF" w:rsidR="006B0198" w:rsidRPr="006B0198" w:rsidRDefault="006B0198" w:rsidP="003469C0">
            <w:pPr>
              <w:spacing w:before="80" w:after="80"/>
              <w:rPr>
                <w:sz w:val="18"/>
                <w:szCs w:val="18"/>
              </w:rPr>
            </w:pPr>
            <w:r w:rsidRPr="006B0198">
              <w:rPr>
                <w:sz w:val="18"/>
                <w:szCs w:val="18"/>
              </w:rPr>
              <w:t xml:space="preserve">Hydrogen Conversion Efficiency </w:t>
            </w:r>
            <w:r w:rsidRPr="006B0198">
              <w:rPr>
                <w:b w:val="0"/>
                <w:bCs/>
                <w:sz w:val="18"/>
                <w:szCs w:val="18"/>
              </w:rPr>
              <w:t>(%)</w:t>
            </w:r>
          </w:p>
        </w:tc>
        <w:tc>
          <w:tcPr>
            <w:tcW w:w="1305" w:type="dxa"/>
            <w:noWrap/>
            <w:vAlign w:val="bottom"/>
            <w:hideMark/>
          </w:tcPr>
          <w:p w14:paraId="458043D4" w14:textId="4CDE910C" w:rsidR="006B0198" w:rsidRPr="006B0198" w:rsidRDefault="00F00501"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E11BE8">
              <w:rPr>
                <w:sz w:val="18"/>
                <w:szCs w:val="18"/>
                <w:u w:val="single"/>
              </w:rPr>
              <w:t>&lt;</w:t>
            </w:r>
            <w:r w:rsidR="006B0198" w:rsidRPr="006B0198">
              <w:rPr>
                <w:sz w:val="18"/>
                <w:szCs w:val="18"/>
              </w:rPr>
              <w:t>30</w:t>
            </w:r>
          </w:p>
        </w:tc>
        <w:tc>
          <w:tcPr>
            <w:tcW w:w="1305" w:type="dxa"/>
            <w:noWrap/>
            <w:vAlign w:val="bottom"/>
            <w:hideMark/>
          </w:tcPr>
          <w:p w14:paraId="64B707B0" w14:textId="00B6A3E3"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30-40</w:t>
            </w:r>
          </w:p>
        </w:tc>
        <w:tc>
          <w:tcPr>
            <w:tcW w:w="1305" w:type="dxa"/>
            <w:noWrap/>
            <w:vAlign w:val="bottom"/>
            <w:hideMark/>
          </w:tcPr>
          <w:p w14:paraId="5CAEC573" w14:textId="6BC0145A"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40-50</w:t>
            </w:r>
          </w:p>
        </w:tc>
        <w:tc>
          <w:tcPr>
            <w:tcW w:w="1305" w:type="dxa"/>
            <w:noWrap/>
            <w:vAlign w:val="bottom"/>
            <w:hideMark/>
          </w:tcPr>
          <w:p w14:paraId="37D9B6CD" w14:textId="35FB129D"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50-60</w:t>
            </w:r>
          </w:p>
        </w:tc>
        <w:tc>
          <w:tcPr>
            <w:tcW w:w="1306" w:type="dxa"/>
            <w:noWrap/>
            <w:vAlign w:val="bottom"/>
            <w:hideMark/>
          </w:tcPr>
          <w:p w14:paraId="3646B123" w14:textId="09838B63" w:rsidR="006B0198" w:rsidRPr="006B0198" w:rsidRDefault="006B0198" w:rsidP="003469C0">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6B0198">
              <w:rPr>
                <w:sz w:val="18"/>
                <w:szCs w:val="18"/>
              </w:rPr>
              <w:t>&gt;60</w:t>
            </w:r>
          </w:p>
        </w:tc>
      </w:tr>
      <w:tr w:rsidR="006B0198" w:rsidRPr="00F81774" w14:paraId="43B1DDE2" w14:textId="77777777" w:rsidTr="003469C0">
        <w:trPr>
          <w:trHeight w:val="278"/>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hideMark/>
          </w:tcPr>
          <w:p w14:paraId="7C36987B" w14:textId="223ACF7A" w:rsidR="006B0198" w:rsidRPr="006B0198" w:rsidRDefault="006B0198" w:rsidP="003469C0">
            <w:pPr>
              <w:spacing w:after="80"/>
              <w:rPr>
                <w:sz w:val="18"/>
                <w:szCs w:val="18"/>
              </w:rPr>
            </w:pPr>
            <w:r w:rsidRPr="006B0198">
              <w:rPr>
                <w:sz w:val="18"/>
                <w:szCs w:val="18"/>
              </w:rPr>
              <w:t xml:space="preserve">Decarbonisation Benefit </w:t>
            </w:r>
            <w:r w:rsidRPr="006B0198">
              <w:rPr>
                <w:b w:val="0"/>
                <w:bCs/>
                <w:sz w:val="18"/>
                <w:szCs w:val="18"/>
              </w:rPr>
              <w:t>(kg CO</w:t>
            </w:r>
            <w:r w:rsidRPr="003469C0">
              <w:rPr>
                <w:b w:val="0"/>
                <w:bCs/>
                <w:sz w:val="18"/>
                <w:szCs w:val="18"/>
                <w:vertAlign w:val="subscript"/>
              </w:rPr>
              <w:t>2</w:t>
            </w:r>
            <w:r w:rsidRPr="006B0198">
              <w:rPr>
                <w:b w:val="0"/>
                <w:bCs/>
                <w:sz w:val="18"/>
                <w:szCs w:val="18"/>
              </w:rPr>
              <w:t xml:space="preserve"> eq./</w:t>
            </w:r>
            <w:r w:rsidR="00A624AB">
              <w:rPr>
                <w:b w:val="0"/>
                <w:bCs/>
                <w:sz w:val="18"/>
                <w:szCs w:val="18"/>
              </w:rPr>
              <w:t>kWh</w:t>
            </w:r>
            <w:r w:rsidRPr="006B0198">
              <w:rPr>
                <w:b w:val="0"/>
                <w:bCs/>
                <w:sz w:val="18"/>
                <w:szCs w:val="18"/>
              </w:rPr>
              <w:t>)</w:t>
            </w:r>
          </w:p>
        </w:tc>
        <w:tc>
          <w:tcPr>
            <w:tcW w:w="1305" w:type="dxa"/>
            <w:noWrap/>
            <w:vAlign w:val="bottom"/>
            <w:hideMark/>
          </w:tcPr>
          <w:p w14:paraId="55849F64" w14:textId="4B3028DD" w:rsidR="006B0198" w:rsidRPr="009B5898" w:rsidRDefault="006B0198" w:rsidP="003469C0">
            <w:pPr>
              <w:spacing w:after="8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B5898">
              <w:rPr>
                <w:color w:val="auto"/>
                <w:sz w:val="18"/>
                <w:szCs w:val="18"/>
              </w:rPr>
              <w:t>&gt;</w:t>
            </w:r>
            <w:r w:rsidR="009B5898" w:rsidRPr="009B5898">
              <w:rPr>
                <w:color w:val="auto"/>
                <w:sz w:val="18"/>
                <w:szCs w:val="18"/>
              </w:rPr>
              <w:t>0.15</w:t>
            </w:r>
          </w:p>
        </w:tc>
        <w:tc>
          <w:tcPr>
            <w:tcW w:w="1305" w:type="dxa"/>
            <w:noWrap/>
            <w:vAlign w:val="bottom"/>
            <w:hideMark/>
          </w:tcPr>
          <w:p w14:paraId="5BE3B125" w14:textId="6398E149" w:rsidR="006B0198" w:rsidRPr="009B5898" w:rsidRDefault="009A2F8F" w:rsidP="003469C0">
            <w:pPr>
              <w:spacing w:after="8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B5898">
              <w:rPr>
                <w:color w:val="auto"/>
                <w:sz w:val="18"/>
                <w:szCs w:val="18"/>
              </w:rPr>
              <w:t>0.1 – 0.15</w:t>
            </w:r>
          </w:p>
        </w:tc>
        <w:tc>
          <w:tcPr>
            <w:tcW w:w="1305" w:type="dxa"/>
            <w:noWrap/>
            <w:vAlign w:val="bottom"/>
            <w:hideMark/>
          </w:tcPr>
          <w:p w14:paraId="490FAEE9" w14:textId="1D0A5999" w:rsidR="006B0198" w:rsidRPr="009B5898" w:rsidRDefault="006B0198" w:rsidP="003469C0">
            <w:pPr>
              <w:spacing w:after="8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B5898">
              <w:rPr>
                <w:color w:val="auto"/>
                <w:sz w:val="18"/>
                <w:szCs w:val="18"/>
              </w:rPr>
              <w:t>0.</w:t>
            </w:r>
            <w:r w:rsidR="009A2F8F" w:rsidRPr="009B5898">
              <w:rPr>
                <w:color w:val="auto"/>
                <w:sz w:val="18"/>
                <w:szCs w:val="18"/>
              </w:rPr>
              <w:t>05-0.</w:t>
            </w:r>
            <w:r w:rsidRPr="009B5898">
              <w:rPr>
                <w:color w:val="auto"/>
                <w:sz w:val="18"/>
                <w:szCs w:val="18"/>
              </w:rPr>
              <w:t>1</w:t>
            </w:r>
          </w:p>
        </w:tc>
        <w:tc>
          <w:tcPr>
            <w:tcW w:w="1305" w:type="dxa"/>
            <w:noWrap/>
            <w:vAlign w:val="bottom"/>
            <w:hideMark/>
          </w:tcPr>
          <w:p w14:paraId="79B5EBA5" w14:textId="2EADECAD" w:rsidR="006B0198" w:rsidRPr="009B5898" w:rsidRDefault="006B0198" w:rsidP="003469C0">
            <w:pPr>
              <w:spacing w:after="8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B5898">
              <w:rPr>
                <w:color w:val="auto"/>
                <w:sz w:val="18"/>
                <w:szCs w:val="18"/>
              </w:rPr>
              <w:t>0-0.</w:t>
            </w:r>
            <w:r w:rsidR="008E3496" w:rsidRPr="009B5898">
              <w:rPr>
                <w:color w:val="auto"/>
                <w:sz w:val="18"/>
                <w:szCs w:val="18"/>
              </w:rPr>
              <w:t>05</w:t>
            </w:r>
          </w:p>
        </w:tc>
        <w:tc>
          <w:tcPr>
            <w:tcW w:w="1306" w:type="dxa"/>
            <w:noWrap/>
            <w:vAlign w:val="bottom"/>
            <w:hideMark/>
          </w:tcPr>
          <w:p w14:paraId="531E1253" w14:textId="632E2A00" w:rsidR="006B0198" w:rsidRPr="009B5898" w:rsidRDefault="006B0198" w:rsidP="003469C0">
            <w:pPr>
              <w:spacing w:after="80"/>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B5898">
              <w:rPr>
                <w:color w:val="auto"/>
                <w:sz w:val="18"/>
                <w:szCs w:val="18"/>
              </w:rPr>
              <w:t>0</w:t>
            </w:r>
          </w:p>
        </w:tc>
      </w:tr>
      <w:tr w:rsidR="002863AD" w:rsidRPr="00F81774" w14:paraId="174D86FC" w14:textId="77777777" w:rsidTr="00767567">
        <w:trPr>
          <w:cnfStyle w:val="000000010000" w:firstRow="0" w:lastRow="0" w:firstColumn="0" w:lastColumn="0" w:oddVBand="0" w:evenVBand="0" w:oddHBand="0" w:evenHBand="1"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735" w:type="dxa"/>
            <w:noWrap/>
            <w:vAlign w:val="bottom"/>
            <w:hideMark/>
          </w:tcPr>
          <w:p w14:paraId="1999F7E0" w14:textId="3412824B" w:rsidR="002863AD" w:rsidRPr="006B0198" w:rsidRDefault="002863AD" w:rsidP="002863AD">
            <w:pPr>
              <w:spacing w:before="80" w:after="80"/>
              <w:rPr>
                <w:sz w:val="18"/>
                <w:szCs w:val="18"/>
              </w:rPr>
            </w:pPr>
            <w:r w:rsidRPr="006B0198">
              <w:rPr>
                <w:sz w:val="18"/>
                <w:szCs w:val="18"/>
              </w:rPr>
              <w:t xml:space="preserve">Transportation Cost </w:t>
            </w:r>
            <w:r w:rsidRPr="006B0198">
              <w:rPr>
                <w:b w:val="0"/>
                <w:bCs/>
                <w:sz w:val="18"/>
                <w:szCs w:val="18"/>
              </w:rPr>
              <w:t>(</w:t>
            </w:r>
            <w:r>
              <w:rPr>
                <w:b w:val="0"/>
                <w:bCs/>
                <w:sz w:val="18"/>
                <w:szCs w:val="18"/>
              </w:rPr>
              <w:t>A</w:t>
            </w:r>
            <w:r w:rsidRPr="006B0198">
              <w:rPr>
                <w:b w:val="0"/>
                <w:bCs/>
                <w:sz w:val="18"/>
                <w:szCs w:val="18"/>
              </w:rPr>
              <w:t>$ kg</w:t>
            </w:r>
            <w:r w:rsidRPr="003469C0">
              <w:rPr>
                <w:b w:val="0"/>
                <w:bCs/>
                <w:sz w:val="18"/>
                <w:szCs w:val="18"/>
                <w:vertAlign w:val="superscript"/>
              </w:rPr>
              <w:t>-1</w:t>
            </w:r>
            <w:r w:rsidRPr="006B0198">
              <w:rPr>
                <w:b w:val="0"/>
                <w:bCs/>
                <w:sz w:val="18"/>
                <w:szCs w:val="18"/>
              </w:rPr>
              <w:t>)</w:t>
            </w:r>
          </w:p>
        </w:tc>
        <w:tc>
          <w:tcPr>
            <w:tcW w:w="1305" w:type="dxa"/>
            <w:noWrap/>
            <w:hideMark/>
          </w:tcPr>
          <w:p w14:paraId="42C71EDF" w14:textId="1750A539" w:rsidR="002863AD" w:rsidRPr="002863AD" w:rsidRDefault="002863AD" w:rsidP="002863AD">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2863AD">
              <w:rPr>
                <w:sz w:val="18"/>
                <w:szCs w:val="18"/>
              </w:rPr>
              <w:t>&gt;1</w:t>
            </w:r>
          </w:p>
        </w:tc>
        <w:tc>
          <w:tcPr>
            <w:tcW w:w="1305" w:type="dxa"/>
            <w:noWrap/>
            <w:hideMark/>
          </w:tcPr>
          <w:p w14:paraId="6BF82A53" w14:textId="26D1AC69" w:rsidR="002863AD" w:rsidRPr="002863AD" w:rsidRDefault="002863AD" w:rsidP="002863AD">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2863AD">
              <w:rPr>
                <w:sz w:val="18"/>
                <w:szCs w:val="18"/>
              </w:rPr>
              <w:t>&gt;0.5</w:t>
            </w:r>
          </w:p>
        </w:tc>
        <w:tc>
          <w:tcPr>
            <w:tcW w:w="1305" w:type="dxa"/>
            <w:noWrap/>
            <w:hideMark/>
          </w:tcPr>
          <w:p w14:paraId="2A7C9FC6" w14:textId="3AF7F86A" w:rsidR="002863AD" w:rsidRPr="002863AD" w:rsidRDefault="002863AD" w:rsidP="002863AD">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2863AD">
              <w:rPr>
                <w:sz w:val="18"/>
                <w:szCs w:val="18"/>
              </w:rPr>
              <w:t>&gt;0.2</w:t>
            </w:r>
          </w:p>
        </w:tc>
        <w:tc>
          <w:tcPr>
            <w:tcW w:w="1305" w:type="dxa"/>
            <w:noWrap/>
            <w:hideMark/>
          </w:tcPr>
          <w:p w14:paraId="0A0A3EE2" w14:textId="3B0371A4" w:rsidR="002863AD" w:rsidRPr="002863AD" w:rsidRDefault="002863AD" w:rsidP="002863AD">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2863AD">
              <w:rPr>
                <w:sz w:val="18"/>
                <w:szCs w:val="18"/>
              </w:rPr>
              <w:t>&gt;0.1</w:t>
            </w:r>
          </w:p>
        </w:tc>
        <w:tc>
          <w:tcPr>
            <w:tcW w:w="1306" w:type="dxa"/>
            <w:noWrap/>
            <w:hideMark/>
          </w:tcPr>
          <w:p w14:paraId="461B104F" w14:textId="3388BD9D" w:rsidR="002863AD" w:rsidRPr="002863AD" w:rsidRDefault="002863AD" w:rsidP="002863AD">
            <w:pPr>
              <w:spacing w:before="80" w:after="80"/>
              <w:jc w:val="center"/>
              <w:cnfStyle w:val="000000010000" w:firstRow="0" w:lastRow="0" w:firstColumn="0" w:lastColumn="0" w:oddVBand="0" w:evenVBand="0" w:oddHBand="0" w:evenHBand="1" w:firstRowFirstColumn="0" w:firstRowLastColumn="0" w:lastRowFirstColumn="0" w:lastRowLastColumn="0"/>
              <w:rPr>
                <w:sz w:val="18"/>
                <w:szCs w:val="18"/>
              </w:rPr>
            </w:pPr>
            <w:r w:rsidRPr="002863AD">
              <w:rPr>
                <w:sz w:val="18"/>
                <w:szCs w:val="18"/>
              </w:rPr>
              <w:t>&lt;0.1</w:t>
            </w:r>
          </w:p>
        </w:tc>
      </w:tr>
    </w:tbl>
    <w:p w14:paraId="57593EC1" w14:textId="4D5B8A73" w:rsidR="00E410CD" w:rsidRDefault="00E410CD" w:rsidP="00DB08A2">
      <w:pPr>
        <w:spacing w:before="240" w:line="240" w:lineRule="auto"/>
        <w:jc w:val="both"/>
        <w:rPr>
          <w:rFonts w:eastAsia="Times New Roman" w:cs="Times New Roman"/>
          <w:szCs w:val="24"/>
          <w:lang w:eastAsia="en-AU"/>
        </w:rPr>
      </w:pPr>
      <w:r w:rsidRPr="00F81774">
        <w:rPr>
          <w:rFonts w:eastAsia="Times New Roman" w:cs="Times New Roman"/>
          <w:szCs w:val="24"/>
          <w:lang w:eastAsia="en-AU"/>
        </w:rPr>
        <w:t xml:space="preserve">The MCA is provided </w:t>
      </w:r>
      <w:r w:rsidR="001D5E07">
        <w:rPr>
          <w:rFonts w:eastAsia="Times New Roman" w:cs="Times New Roman"/>
          <w:szCs w:val="24"/>
          <w:lang w:eastAsia="en-AU"/>
        </w:rPr>
        <w:t>above</w:t>
      </w:r>
      <w:r w:rsidRPr="00F81774">
        <w:rPr>
          <w:rFonts w:eastAsia="Times New Roman" w:cs="Times New Roman"/>
          <w:szCs w:val="24"/>
          <w:lang w:eastAsia="en-AU"/>
        </w:rPr>
        <w:t>, with a high score indicative of better performance</w:t>
      </w:r>
      <w:r>
        <w:rPr>
          <w:rFonts w:eastAsia="Times New Roman" w:cs="Times New Roman"/>
          <w:szCs w:val="24"/>
          <w:lang w:eastAsia="en-AU"/>
        </w:rPr>
        <w:t xml:space="preserve"> (</w:t>
      </w:r>
      <w:r w:rsidR="00921944" w:rsidRPr="00921944">
        <w:rPr>
          <w:rFonts w:eastAsia="Times New Roman" w:cs="Times New Roman"/>
          <w:b/>
          <w:bCs/>
          <w:szCs w:val="24"/>
          <w:lang w:eastAsia="en-AU"/>
        </w:rPr>
        <w:t xml:space="preserve">Table </w:t>
      </w:r>
      <w:r w:rsidR="0073610F">
        <w:rPr>
          <w:rFonts w:eastAsia="Times New Roman" w:cs="Times New Roman"/>
          <w:b/>
          <w:bCs/>
          <w:szCs w:val="24"/>
          <w:lang w:eastAsia="en-AU"/>
        </w:rPr>
        <w:t>C</w:t>
      </w:r>
      <w:r w:rsidR="00921944" w:rsidRPr="00921944">
        <w:rPr>
          <w:rFonts w:eastAsia="Times New Roman" w:cs="Times New Roman"/>
          <w:b/>
          <w:bCs/>
          <w:szCs w:val="24"/>
          <w:lang w:eastAsia="en-AU"/>
        </w:rPr>
        <w:t>2</w:t>
      </w:r>
      <w:r>
        <w:rPr>
          <w:rFonts w:eastAsia="Times New Roman" w:cs="Times New Roman"/>
          <w:szCs w:val="24"/>
          <w:lang w:eastAsia="en-AU"/>
        </w:rPr>
        <w:t>)</w:t>
      </w:r>
      <w:r w:rsidRPr="00F81774">
        <w:rPr>
          <w:rFonts w:eastAsia="Times New Roman" w:cs="Times New Roman"/>
          <w:szCs w:val="24"/>
          <w:lang w:eastAsia="en-AU"/>
        </w:rPr>
        <w:t xml:space="preserve">. Methane is the best performing storage and transportation method, owing to its low CAPEX and OPEX, high energy density and technical readiness, with methane export, in the form of natural gas, a mature industry. Ammonia also is high performing with low OPEX but higher CAPEX. It also has low environmental impact and losses during transportation as well as a high level of technical readiness. Methanol performed moderately regarding all criteria, hampered by higher CAPEX and OPEX and a less mature formation and export technology. Liquefied hydrogen and the DME LOHC evaluated both performed poorly. Liquefied hydrogen suffers from high OPEX owing to the large liquefaction energy requirement. Furthermore, the requirement for maintaining cryogenic conditions causes yield losses during transport and the developing export infrastructure contributed to lower potential for application. Furthermore, the lack of technical readiness for LOHCs cause the high OPEX and CAPEX costs which currently make this an unviable method for hydrogen storage and transport. </w:t>
      </w:r>
    </w:p>
    <w:p w14:paraId="142B9593" w14:textId="77777777" w:rsidR="001F51B4" w:rsidRDefault="001F51B4">
      <w:pPr>
        <w:rPr>
          <w:rFonts w:eastAsiaTheme="majorEastAsia" w:cstheme="majorBidi"/>
          <w:b/>
          <w:iCs/>
          <w:sz w:val="44"/>
          <w:szCs w:val="40"/>
        </w:rPr>
      </w:pPr>
      <w:r>
        <w:rPr>
          <w:b/>
          <w:bCs/>
          <w:sz w:val="44"/>
          <w:szCs w:val="40"/>
        </w:rPr>
        <w:br w:type="page"/>
      </w:r>
    </w:p>
    <w:p w14:paraId="5421BE46" w14:textId="29289011" w:rsidR="00AA3A38" w:rsidRPr="00F87235" w:rsidRDefault="002267A1" w:rsidP="002267A1">
      <w:pPr>
        <w:pStyle w:val="Heading4NoNumber"/>
        <w:rPr>
          <w:rFonts w:ascii="Roboto" w:hAnsi="Roboto"/>
          <w:b/>
          <w:bCs w:val="0"/>
          <w:sz w:val="44"/>
          <w:szCs w:val="40"/>
        </w:rPr>
      </w:pPr>
      <w:r w:rsidRPr="00F87235">
        <w:rPr>
          <w:rFonts w:ascii="Roboto" w:hAnsi="Roboto"/>
          <w:b/>
          <w:bCs w:val="0"/>
          <w:sz w:val="44"/>
          <w:szCs w:val="40"/>
        </w:rPr>
        <w:lastRenderedPageBreak/>
        <w:t>References</w:t>
      </w:r>
    </w:p>
    <w:p w14:paraId="4DA6556C" w14:textId="6A7A6318" w:rsidR="006D205F" w:rsidRPr="006D205F" w:rsidRDefault="001C4032" w:rsidP="006D205F">
      <w:pPr>
        <w:widowControl w:val="0"/>
        <w:autoSpaceDE w:val="0"/>
        <w:autoSpaceDN w:val="0"/>
        <w:adjustRightInd w:val="0"/>
        <w:spacing w:after="0" w:line="240" w:lineRule="auto"/>
        <w:ind w:left="426" w:hanging="426"/>
        <w:rPr>
          <w:rFonts w:cs="Times New Roman"/>
          <w:noProof/>
          <w:sz w:val="16"/>
          <w:szCs w:val="24"/>
        </w:rPr>
      </w:pPr>
      <w:r w:rsidRPr="00F87235">
        <w:rPr>
          <w:rFonts w:asciiTheme="minorHAnsi" w:hAnsiTheme="minorHAnsi"/>
          <w:sz w:val="16"/>
          <w:szCs w:val="16"/>
        </w:rPr>
        <w:fldChar w:fldCharType="begin" w:fldLock="1"/>
      </w:r>
      <w:r w:rsidRPr="00F87235">
        <w:rPr>
          <w:rFonts w:asciiTheme="minorHAnsi" w:hAnsiTheme="minorHAnsi"/>
          <w:sz w:val="16"/>
          <w:szCs w:val="16"/>
        </w:rPr>
        <w:instrText xml:space="preserve">ADDIN Mendeley Bibliography CSL_BIBLIOGRAPHY </w:instrText>
      </w:r>
      <w:r w:rsidRPr="00F87235">
        <w:rPr>
          <w:rFonts w:asciiTheme="minorHAnsi" w:hAnsiTheme="minorHAnsi"/>
          <w:sz w:val="16"/>
          <w:szCs w:val="16"/>
        </w:rPr>
        <w:fldChar w:fldCharType="separate"/>
      </w:r>
      <w:r w:rsidR="006D205F" w:rsidRPr="006D205F">
        <w:rPr>
          <w:rFonts w:cs="Times New Roman"/>
          <w:noProof/>
          <w:sz w:val="16"/>
          <w:szCs w:val="24"/>
        </w:rPr>
        <w:t>1.</w:t>
      </w:r>
      <w:r w:rsidR="006D205F" w:rsidRPr="006D205F">
        <w:rPr>
          <w:rFonts w:cs="Times New Roman"/>
          <w:noProof/>
          <w:sz w:val="16"/>
          <w:szCs w:val="24"/>
        </w:rPr>
        <w:tab/>
        <w:t xml:space="preserve">CSIRO. Daintree Microgrid Project . </w:t>
      </w:r>
      <w:r w:rsidR="006D205F" w:rsidRPr="006D205F">
        <w:rPr>
          <w:rFonts w:cs="Times New Roman"/>
          <w:i/>
          <w:iCs/>
          <w:noProof/>
          <w:sz w:val="16"/>
          <w:szCs w:val="24"/>
        </w:rPr>
        <w:t>HyResource</w:t>
      </w:r>
      <w:r w:rsidR="006D205F" w:rsidRPr="006D205F">
        <w:rPr>
          <w:rFonts w:cs="Times New Roman"/>
          <w:noProof/>
          <w:sz w:val="16"/>
          <w:szCs w:val="24"/>
        </w:rPr>
        <w:t xml:space="preserve"> https://research.csiro.au/hyresource/daintree-microgrid-project/ (2020).</w:t>
      </w:r>
    </w:p>
    <w:p w14:paraId="0127EB20"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w:t>
      </w:r>
      <w:r w:rsidRPr="006D205F">
        <w:rPr>
          <w:rFonts w:cs="Times New Roman"/>
          <w:noProof/>
          <w:sz w:val="16"/>
          <w:szCs w:val="24"/>
        </w:rPr>
        <w:tab/>
        <w:t xml:space="preserve">CSIRO. Daintree Microgrid Project . </w:t>
      </w:r>
      <w:r w:rsidRPr="006D205F">
        <w:rPr>
          <w:rFonts w:cs="Times New Roman"/>
          <w:i/>
          <w:iCs/>
          <w:noProof/>
          <w:sz w:val="16"/>
          <w:szCs w:val="24"/>
        </w:rPr>
        <w:t>HyResource</w:t>
      </w:r>
      <w:r w:rsidRPr="006D205F">
        <w:rPr>
          <w:rFonts w:cs="Times New Roman"/>
          <w:noProof/>
          <w:sz w:val="16"/>
          <w:szCs w:val="24"/>
        </w:rPr>
        <w:t xml:space="preserve"> https://research.csiro.au/hyresource/daintree-microgrid-project/ (2020).</w:t>
      </w:r>
    </w:p>
    <w:p w14:paraId="7373EAC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w:t>
      </w:r>
      <w:r w:rsidRPr="006D205F">
        <w:rPr>
          <w:rFonts w:cs="Times New Roman"/>
          <w:noProof/>
          <w:sz w:val="16"/>
          <w:szCs w:val="24"/>
        </w:rPr>
        <w:tab/>
        <w:t>What Happened To The One Million Dollar Shovel Ready Daintree Microgrid Project? | DouglasNews.Network. https://douglasnews.network/2021/04/24/what-happened-to-the-one-million-dollar-shovel-ready-daintree-microgrid-project/.</w:t>
      </w:r>
    </w:p>
    <w:p w14:paraId="4102274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w:t>
      </w:r>
      <w:r w:rsidRPr="006D205F">
        <w:rPr>
          <w:rFonts w:cs="Times New Roman"/>
          <w:noProof/>
          <w:sz w:val="16"/>
          <w:szCs w:val="24"/>
        </w:rPr>
        <w:tab/>
        <w:t xml:space="preserve">Warren Entsch MP. Morrison Government to invest $19.3m to support stage one construction of the Daintree microgrid project. </w:t>
      </w:r>
      <w:r w:rsidRPr="006D205F">
        <w:rPr>
          <w:rFonts w:cs="Times New Roman"/>
          <w:i/>
          <w:iCs/>
          <w:noProof/>
          <w:sz w:val="16"/>
          <w:szCs w:val="24"/>
        </w:rPr>
        <w:t>Media Releases</w:t>
      </w:r>
      <w:r w:rsidRPr="006D205F">
        <w:rPr>
          <w:rFonts w:cs="Times New Roman"/>
          <w:noProof/>
          <w:sz w:val="16"/>
          <w:szCs w:val="24"/>
        </w:rPr>
        <w:t xml:space="preserve"> https://www.warrenentsch.com.au/morrison-government-to-invest-19-3m-to-support-stage-one-construction-of-the-daintree-microgrid-project/ (2021).</w:t>
      </w:r>
    </w:p>
    <w:p w14:paraId="0AA9146D"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w:t>
      </w:r>
      <w:r w:rsidRPr="006D205F">
        <w:rPr>
          <w:rFonts w:cs="Times New Roman"/>
          <w:noProof/>
          <w:sz w:val="16"/>
          <w:szCs w:val="24"/>
        </w:rPr>
        <w:tab/>
        <w:t xml:space="preserve">Origin Energy. Green hydrogen project signs port MOU. </w:t>
      </w:r>
      <w:r w:rsidRPr="006D205F">
        <w:rPr>
          <w:rFonts w:cs="Times New Roman"/>
          <w:i/>
          <w:iCs/>
          <w:noProof/>
          <w:sz w:val="16"/>
          <w:szCs w:val="24"/>
        </w:rPr>
        <w:t>Media Releases</w:t>
      </w:r>
      <w:r w:rsidRPr="006D205F">
        <w:rPr>
          <w:rFonts w:cs="Times New Roman"/>
          <w:noProof/>
          <w:sz w:val="16"/>
          <w:szCs w:val="24"/>
        </w:rPr>
        <w:t xml:space="preserve"> https://www.originenergy.com.au/about/investors-media/media-centre/green_hydrogen_project_signs_port_mou.html (2021).</w:t>
      </w:r>
    </w:p>
    <w:p w14:paraId="1381605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w:t>
      </w:r>
      <w:r w:rsidRPr="006D205F">
        <w:rPr>
          <w:rFonts w:cs="Times New Roman"/>
          <w:noProof/>
          <w:sz w:val="16"/>
          <w:szCs w:val="24"/>
        </w:rPr>
        <w:tab/>
        <w:t xml:space="preserve">Macdonald-Smith, A. Origin inks accord for hydrogen exports from Townsville. </w:t>
      </w:r>
      <w:r w:rsidRPr="006D205F">
        <w:rPr>
          <w:rFonts w:cs="Times New Roman"/>
          <w:i/>
          <w:iCs/>
          <w:noProof/>
          <w:sz w:val="16"/>
          <w:szCs w:val="24"/>
        </w:rPr>
        <w:t>Australian Financial Review</w:t>
      </w:r>
      <w:r w:rsidRPr="006D205F">
        <w:rPr>
          <w:rFonts w:cs="Times New Roman"/>
          <w:noProof/>
          <w:sz w:val="16"/>
          <w:szCs w:val="24"/>
        </w:rPr>
        <w:t xml:space="preserve"> https://www.afr.com/companies/energy/origin-inks-accord-for-hydrogen-exports-from-townsville-20210414-p57j2c (2021).</w:t>
      </w:r>
    </w:p>
    <w:p w14:paraId="6559625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w:t>
      </w:r>
      <w:r w:rsidRPr="006D205F">
        <w:rPr>
          <w:rFonts w:cs="Times New Roman"/>
          <w:noProof/>
          <w:sz w:val="16"/>
          <w:szCs w:val="24"/>
        </w:rPr>
        <w:tab/>
        <w:t xml:space="preserve">Townsville Mayor Welcomes Hydrogen Agreement Between Origin Energy And Kawasaki Heavy Industries. </w:t>
      </w:r>
      <w:r w:rsidRPr="006D205F">
        <w:rPr>
          <w:rFonts w:cs="Times New Roman"/>
          <w:i/>
          <w:iCs/>
          <w:noProof/>
          <w:sz w:val="16"/>
          <w:szCs w:val="24"/>
        </w:rPr>
        <w:t>FuelCellsWorks</w:t>
      </w:r>
      <w:r w:rsidRPr="006D205F">
        <w:rPr>
          <w:rFonts w:cs="Times New Roman"/>
          <w:noProof/>
          <w:sz w:val="16"/>
          <w:szCs w:val="24"/>
        </w:rPr>
        <w:t xml:space="preserve"> https://fuelcellsworks.com/news/townsville-mayor-welcomes-hydrogen-agreement-between-origin-energy-and-kawasaki-heavy-industries/ (2021).</w:t>
      </w:r>
    </w:p>
    <w:p w14:paraId="311E65B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w:t>
      </w:r>
      <w:r w:rsidRPr="006D205F">
        <w:rPr>
          <w:rFonts w:cs="Times New Roman"/>
          <w:noProof/>
          <w:sz w:val="16"/>
          <w:szCs w:val="24"/>
        </w:rPr>
        <w:tab/>
        <w:t xml:space="preserve">CSIRO. Sun Metals Hydrogen Queensland SunHQ Project. </w:t>
      </w:r>
      <w:r w:rsidRPr="006D205F">
        <w:rPr>
          <w:rFonts w:cs="Times New Roman"/>
          <w:i/>
          <w:iCs/>
          <w:noProof/>
          <w:sz w:val="16"/>
          <w:szCs w:val="24"/>
        </w:rPr>
        <w:t>HyResource</w:t>
      </w:r>
      <w:r w:rsidRPr="006D205F">
        <w:rPr>
          <w:rFonts w:cs="Times New Roman"/>
          <w:noProof/>
          <w:sz w:val="16"/>
          <w:szCs w:val="24"/>
        </w:rPr>
        <w:t xml:space="preserve"> https://research.csiro.au/hyresource/sun-metals-hydrogen-queensland-sunhq-project/ (2020).</w:t>
      </w:r>
    </w:p>
    <w:p w14:paraId="7630191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w:t>
      </w:r>
      <w:r w:rsidRPr="006D205F">
        <w:rPr>
          <w:rFonts w:cs="Times New Roman"/>
          <w:noProof/>
          <w:sz w:val="16"/>
          <w:szCs w:val="24"/>
        </w:rPr>
        <w:tab/>
        <w:t xml:space="preserve">Burgess, K. Developer seeks partners for Abbot Point Hydrogen Export Hub. </w:t>
      </w:r>
      <w:r w:rsidRPr="006D205F">
        <w:rPr>
          <w:rFonts w:cs="Times New Roman"/>
          <w:i/>
          <w:iCs/>
          <w:noProof/>
          <w:sz w:val="16"/>
          <w:szCs w:val="24"/>
        </w:rPr>
        <w:t>Inframation News</w:t>
      </w:r>
      <w:r w:rsidRPr="006D205F">
        <w:rPr>
          <w:rFonts w:cs="Times New Roman"/>
          <w:noProof/>
          <w:sz w:val="16"/>
          <w:szCs w:val="24"/>
        </w:rPr>
        <w:t xml:space="preserve"> https://www.abbotpointcleanenergy.com.au/news (2021).</w:t>
      </w:r>
    </w:p>
    <w:p w14:paraId="2E3F160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w:t>
      </w:r>
      <w:r w:rsidRPr="006D205F">
        <w:rPr>
          <w:rFonts w:cs="Times New Roman"/>
          <w:noProof/>
          <w:sz w:val="16"/>
          <w:szCs w:val="24"/>
        </w:rPr>
        <w:tab/>
        <w:t xml:space="preserve">Abbot Point Clean Energy Hub. The Project — Abbot Point Clean Energy Hub. </w:t>
      </w:r>
      <w:r w:rsidRPr="006D205F">
        <w:rPr>
          <w:rFonts w:cs="Times New Roman"/>
          <w:i/>
          <w:iCs/>
          <w:noProof/>
          <w:sz w:val="16"/>
          <w:szCs w:val="24"/>
        </w:rPr>
        <w:t>2021</w:t>
      </w:r>
      <w:r w:rsidRPr="006D205F">
        <w:rPr>
          <w:rFonts w:cs="Times New Roman"/>
          <w:noProof/>
          <w:sz w:val="16"/>
          <w:szCs w:val="24"/>
        </w:rPr>
        <w:t xml:space="preserve"> https://www.abbotpointcleanenergy.com.au/the-project.</w:t>
      </w:r>
    </w:p>
    <w:p w14:paraId="453D6E8D"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11.</w:t>
      </w:r>
      <w:r w:rsidRPr="006D205F">
        <w:rPr>
          <w:rFonts w:cs="Times New Roman"/>
          <w:noProof/>
          <w:sz w:val="16"/>
          <w:szCs w:val="24"/>
        </w:rPr>
        <w:tab/>
        <w:t xml:space="preserve">Incitec Pivot Limited. Dyno Nobel conducts feasibility studies to assess renewable hydrogen at Moranbah facility. </w:t>
      </w:r>
      <w:r w:rsidRPr="006D205F">
        <w:rPr>
          <w:rFonts w:cs="Times New Roman"/>
          <w:i/>
          <w:iCs/>
          <w:noProof/>
          <w:sz w:val="16"/>
          <w:szCs w:val="24"/>
        </w:rPr>
        <w:t>Media Releases</w:t>
      </w:r>
      <w:r w:rsidRPr="006D205F">
        <w:rPr>
          <w:rFonts w:cs="Times New Roman"/>
          <w:noProof/>
          <w:sz w:val="16"/>
          <w:szCs w:val="24"/>
        </w:rPr>
        <w:t xml:space="preserve"> https://www.incitecpivot.com.au/about-us/about-incitec-pivot-limited/media/2019-09-30-dyno-nobel-conducts-feasibility-study-for-renewable-hydrogen-option-for-moranbah-facility (2019).</w:t>
      </w:r>
    </w:p>
    <w:p w14:paraId="60C6E6C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12.</w:t>
      </w:r>
      <w:r w:rsidRPr="006D205F">
        <w:rPr>
          <w:rFonts w:cs="Times New Roman"/>
          <w:noProof/>
          <w:sz w:val="16"/>
          <w:szCs w:val="24"/>
        </w:rPr>
        <w:tab/>
        <w:t xml:space="preserve">ARENA. Dyno Nobel Renewable Hydrogen Feasibility Study . </w:t>
      </w:r>
      <w:r w:rsidRPr="006D205F">
        <w:rPr>
          <w:rFonts w:cs="Times New Roman"/>
          <w:i/>
          <w:iCs/>
          <w:noProof/>
          <w:sz w:val="16"/>
          <w:szCs w:val="24"/>
        </w:rPr>
        <w:t>Knowledge Bank</w:t>
      </w:r>
      <w:r w:rsidRPr="006D205F">
        <w:rPr>
          <w:rFonts w:cs="Times New Roman"/>
          <w:noProof/>
          <w:sz w:val="16"/>
          <w:szCs w:val="24"/>
        </w:rPr>
        <w:t xml:space="preserve"> https://arena.gov.au/knowledge-bank/dyno-nobel-renewable-hydrogen-feasibility-study/.</w:t>
      </w:r>
    </w:p>
    <w:p w14:paraId="4990F63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13.</w:t>
      </w:r>
      <w:r w:rsidRPr="006D205F">
        <w:rPr>
          <w:rFonts w:cs="Times New Roman"/>
          <w:noProof/>
          <w:sz w:val="16"/>
          <w:szCs w:val="24"/>
        </w:rPr>
        <w:tab/>
        <w:t xml:space="preserve">ANT Energy Solutions &amp; Dyno Nobel Moranbah. </w:t>
      </w:r>
      <w:r w:rsidRPr="006D205F">
        <w:rPr>
          <w:rFonts w:cs="Times New Roman"/>
          <w:i/>
          <w:iCs/>
          <w:noProof/>
          <w:sz w:val="16"/>
          <w:szCs w:val="24"/>
        </w:rPr>
        <w:t>DNM Renewable Hydrogen Feasibility Study</w:t>
      </w:r>
      <w:r w:rsidRPr="006D205F">
        <w:rPr>
          <w:rFonts w:cs="Times New Roman"/>
          <w:noProof/>
          <w:sz w:val="16"/>
          <w:szCs w:val="24"/>
        </w:rPr>
        <w:t>. (2020).</w:t>
      </w:r>
    </w:p>
    <w:p w14:paraId="5941F76A"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14.</w:t>
      </w:r>
      <w:r w:rsidRPr="006D205F">
        <w:rPr>
          <w:rFonts w:cs="Times New Roman"/>
          <w:noProof/>
          <w:sz w:val="16"/>
          <w:szCs w:val="24"/>
        </w:rPr>
        <w:tab/>
        <w:t>Stanwell. Hydrogen. https://www.stanwell.com/energy-assets/new-energy-initiatives/stanwell-hydrogen-project/.</w:t>
      </w:r>
    </w:p>
    <w:p w14:paraId="52BD852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15.</w:t>
      </w:r>
      <w:r w:rsidRPr="006D205F">
        <w:rPr>
          <w:rFonts w:cs="Times New Roman"/>
          <w:noProof/>
          <w:sz w:val="16"/>
          <w:szCs w:val="24"/>
        </w:rPr>
        <w:tab/>
        <w:t xml:space="preserve">ARENA. Stanwell Hydrogen Electrolysis Deployment Feasibility Study. </w:t>
      </w:r>
      <w:r w:rsidRPr="006D205F">
        <w:rPr>
          <w:rFonts w:cs="Times New Roman"/>
          <w:i/>
          <w:iCs/>
          <w:noProof/>
          <w:sz w:val="16"/>
          <w:szCs w:val="24"/>
        </w:rPr>
        <w:t>Projects</w:t>
      </w:r>
      <w:r w:rsidRPr="006D205F">
        <w:rPr>
          <w:rFonts w:cs="Times New Roman"/>
          <w:noProof/>
          <w:sz w:val="16"/>
          <w:szCs w:val="24"/>
        </w:rPr>
        <w:t xml:space="preserve"> https://arena.gov.au/projects/stanwell-hydrogen-electrolysis-deployment-feasibility-study/ (2020).</w:t>
      </w:r>
    </w:p>
    <w:p w14:paraId="4BA94B3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16.</w:t>
      </w:r>
      <w:r w:rsidRPr="006D205F">
        <w:rPr>
          <w:rFonts w:cs="Times New Roman"/>
          <w:noProof/>
          <w:sz w:val="16"/>
          <w:szCs w:val="24"/>
        </w:rPr>
        <w:tab/>
        <w:t>Stanwell. Central Queensland: a future hydrogen export powerhouse. https://www.stanwell.com/our-news/media/central-queensland-a-future-hydrogen-export-powerhouse/ (2020).</w:t>
      </w:r>
    </w:p>
    <w:p w14:paraId="38B712A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17.</w:t>
      </w:r>
      <w:r w:rsidRPr="006D205F">
        <w:rPr>
          <w:rFonts w:cs="Times New Roman"/>
          <w:noProof/>
          <w:sz w:val="16"/>
          <w:szCs w:val="24"/>
        </w:rPr>
        <w:tab/>
        <w:t xml:space="preserve">Matich, B. Green light for the $300 million green Bundaberg Hydrogen Hub. </w:t>
      </w:r>
      <w:r w:rsidRPr="006D205F">
        <w:rPr>
          <w:rFonts w:cs="Times New Roman"/>
          <w:i/>
          <w:iCs/>
          <w:noProof/>
          <w:sz w:val="16"/>
          <w:szCs w:val="24"/>
        </w:rPr>
        <w:t xml:space="preserve"> pv magazine Australia</w:t>
      </w:r>
      <w:r w:rsidRPr="006D205F">
        <w:rPr>
          <w:rFonts w:cs="Times New Roman"/>
          <w:noProof/>
          <w:sz w:val="16"/>
          <w:szCs w:val="24"/>
        </w:rPr>
        <w:t xml:space="preserve"> https://www.pv-magazine-australia.com/2020/09/10/green-light-for-the-300-million-green-bundaberg-hydrogen-hub/ (2020).</w:t>
      </w:r>
    </w:p>
    <w:p w14:paraId="6252BDA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18.</w:t>
      </w:r>
      <w:r w:rsidRPr="006D205F">
        <w:rPr>
          <w:rFonts w:cs="Times New Roman"/>
          <w:noProof/>
          <w:sz w:val="16"/>
          <w:szCs w:val="24"/>
        </w:rPr>
        <w:tab/>
        <w:t xml:space="preserve">ARENA. QNP Green Ammonia Project Feasibility Study . </w:t>
      </w:r>
      <w:r w:rsidRPr="006D205F">
        <w:rPr>
          <w:rFonts w:cs="Times New Roman"/>
          <w:i/>
          <w:iCs/>
          <w:noProof/>
          <w:sz w:val="16"/>
          <w:szCs w:val="24"/>
        </w:rPr>
        <w:t>2020</w:t>
      </w:r>
      <w:r w:rsidRPr="006D205F">
        <w:rPr>
          <w:rFonts w:cs="Times New Roman"/>
          <w:noProof/>
          <w:sz w:val="16"/>
          <w:szCs w:val="24"/>
        </w:rPr>
        <w:t xml:space="preserve"> https://arena.gov.au/knowledge-bank/qnp-green-ammonia-project-feasibility-study/.</w:t>
      </w:r>
    </w:p>
    <w:p w14:paraId="1B425941"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19.</w:t>
      </w:r>
      <w:r w:rsidRPr="006D205F">
        <w:rPr>
          <w:rFonts w:cs="Times New Roman"/>
          <w:noProof/>
          <w:sz w:val="16"/>
          <w:szCs w:val="24"/>
        </w:rPr>
        <w:tab/>
        <w:t xml:space="preserve">CSIRO. Queensland Nitrates Renewable Hydrogen and Ammonia Project. </w:t>
      </w:r>
      <w:r w:rsidRPr="006D205F">
        <w:rPr>
          <w:rFonts w:cs="Times New Roman"/>
          <w:i/>
          <w:iCs/>
          <w:noProof/>
          <w:sz w:val="16"/>
          <w:szCs w:val="24"/>
        </w:rPr>
        <w:t>HyResource</w:t>
      </w:r>
      <w:r w:rsidRPr="006D205F">
        <w:rPr>
          <w:rFonts w:cs="Times New Roman"/>
          <w:noProof/>
          <w:sz w:val="16"/>
          <w:szCs w:val="24"/>
        </w:rPr>
        <w:t xml:space="preserve"> https://research.csiro.au/hyresource/queensland-nitrates-renewable-hydrogen-and-ammonia-project/ (2020).</w:t>
      </w:r>
    </w:p>
    <w:p w14:paraId="5B66E52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20.</w:t>
      </w:r>
      <w:r w:rsidRPr="006D205F">
        <w:rPr>
          <w:rFonts w:cs="Times New Roman"/>
          <w:noProof/>
          <w:sz w:val="16"/>
          <w:szCs w:val="24"/>
        </w:rPr>
        <w:tab/>
        <w:t>QNP, ARENA &amp; Neon and Worley. QNP Green Ammonia Project Feasibility Study. (2020).</w:t>
      </w:r>
    </w:p>
    <w:p w14:paraId="15731C5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21.</w:t>
      </w:r>
      <w:r w:rsidRPr="006D205F">
        <w:rPr>
          <w:rFonts w:cs="Times New Roman"/>
          <w:noProof/>
          <w:sz w:val="16"/>
          <w:szCs w:val="24"/>
        </w:rPr>
        <w:tab/>
        <w:t xml:space="preserve">CSIRO. Bio-Hydrogen Demonstration Plant . </w:t>
      </w:r>
      <w:r w:rsidRPr="006D205F">
        <w:rPr>
          <w:rFonts w:cs="Times New Roman"/>
          <w:i/>
          <w:iCs/>
          <w:noProof/>
          <w:sz w:val="16"/>
          <w:szCs w:val="24"/>
        </w:rPr>
        <w:t>HyResource</w:t>
      </w:r>
      <w:r w:rsidRPr="006D205F">
        <w:rPr>
          <w:rFonts w:cs="Times New Roman"/>
          <w:noProof/>
          <w:sz w:val="16"/>
          <w:szCs w:val="24"/>
        </w:rPr>
        <w:t xml:space="preserve"> https://research.csiro.au/hyresource/bio-hydrogen-demonstration-plant/ (2020).</w:t>
      </w:r>
    </w:p>
    <w:p w14:paraId="7C13B88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22.</w:t>
      </w:r>
      <w:r w:rsidRPr="006D205F">
        <w:rPr>
          <w:rFonts w:cs="Times New Roman"/>
          <w:noProof/>
          <w:sz w:val="16"/>
          <w:szCs w:val="24"/>
        </w:rPr>
        <w:tab/>
        <w:t xml:space="preserve">Terzon, E. Hydrogen power plant pilot, a first for Queensland, highlights resurgence of humble chemical elements. </w:t>
      </w:r>
      <w:r w:rsidRPr="006D205F">
        <w:rPr>
          <w:rFonts w:cs="Times New Roman"/>
          <w:i/>
          <w:iCs/>
          <w:noProof/>
          <w:sz w:val="16"/>
          <w:szCs w:val="24"/>
        </w:rPr>
        <w:t>ABC news</w:t>
      </w:r>
      <w:r w:rsidRPr="006D205F">
        <w:rPr>
          <w:rFonts w:cs="Times New Roman"/>
          <w:noProof/>
          <w:sz w:val="16"/>
          <w:szCs w:val="24"/>
        </w:rPr>
        <w:t xml:space="preserve"> https://www.abc.net.au/news/2018-07-18/hydrogen-power-pilot-concept-gladstone-refinery/10003812 (2018).</w:t>
      </w:r>
    </w:p>
    <w:p w14:paraId="1B9C163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23.</w:t>
      </w:r>
      <w:r w:rsidRPr="006D205F">
        <w:rPr>
          <w:rFonts w:cs="Times New Roman"/>
          <w:noProof/>
          <w:sz w:val="16"/>
          <w:szCs w:val="24"/>
        </w:rPr>
        <w:tab/>
        <w:t xml:space="preserve">Brown Trevor. H2U moves forward with 3 GW green ammonia export plant . </w:t>
      </w:r>
      <w:r w:rsidRPr="006D205F">
        <w:rPr>
          <w:rFonts w:cs="Times New Roman"/>
          <w:i/>
          <w:iCs/>
          <w:noProof/>
          <w:sz w:val="16"/>
          <w:szCs w:val="24"/>
        </w:rPr>
        <w:t>Ammonia Energy</w:t>
      </w:r>
      <w:r w:rsidRPr="006D205F">
        <w:rPr>
          <w:rFonts w:cs="Times New Roman"/>
          <w:noProof/>
          <w:sz w:val="16"/>
          <w:szCs w:val="24"/>
        </w:rPr>
        <w:t xml:space="preserve"> https://www.ammoniaenergy.org/articles/h2u-moves-forward-with-3-gw-green-ammonia-export-plant/ (2020).</w:t>
      </w:r>
    </w:p>
    <w:p w14:paraId="4E0C6AA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24.</w:t>
      </w:r>
      <w:r w:rsidRPr="006D205F">
        <w:rPr>
          <w:rFonts w:cs="Times New Roman"/>
          <w:noProof/>
          <w:sz w:val="16"/>
          <w:szCs w:val="24"/>
        </w:rPr>
        <w:tab/>
        <w:t xml:space="preserve">CSIRO. H2-Hub(TM) Gladstone . </w:t>
      </w:r>
      <w:r w:rsidRPr="006D205F">
        <w:rPr>
          <w:rFonts w:cs="Times New Roman"/>
          <w:i/>
          <w:iCs/>
          <w:noProof/>
          <w:sz w:val="16"/>
          <w:szCs w:val="24"/>
        </w:rPr>
        <w:t>HyResource</w:t>
      </w:r>
      <w:r w:rsidRPr="006D205F">
        <w:rPr>
          <w:rFonts w:cs="Times New Roman"/>
          <w:noProof/>
          <w:sz w:val="16"/>
          <w:szCs w:val="24"/>
        </w:rPr>
        <w:t xml:space="preserve"> https://research.csiro.au/hyresource/h2-hub-gladstone/ (2020).</w:t>
      </w:r>
    </w:p>
    <w:p w14:paraId="4D65925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25.</w:t>
      </w:r>
      <w:r w:rsidRPr="006D205F">
        <w:rPr>
          <w:rFonts w:cs="Times New Roman"/>
          <w:noProof/>
          <w:sz w:val="16"/>
          <w:szCs w:val="24"/>
        </w:rPr>
        <w:tab/>
        <w:t xml:space="preserve">RWE. RWE and H2U join forces to develop global hydrogen trading between Australia and Germany. </w:t>
      </w:r>
      <w:r w:rsidRPr="006D205F">
        <w:rPr>
          <w:rFonts w:cs="Times New Roman"/>
          <w:i/>
          <w:iCs/>
          <w:noProof/>
          <w:sz w:val="16"/>
          <w:szCs w:val="24"/>
        </w:rPr>
        <w:t>Press Release</w:t>
      </w:r>
      <w:r w:rsidRPr="006D205F">
        <w:rPr>
          <w:rFonts w:cs="Times New Roman"/>
          <w:noProof/>
          <w:sz w:val="16"/>
          <w:szCs w:val="24"/>
        </w:rPr>
        <w:t xml:space="preserve"> https://www.rwe.com/en/press/rwe-supply-and-trading/rwe-and-h2u-join-forces-to-develop-global-hydrogen-trading-between-australia-and-germany (2021).</w:t>
      </w:r>
    </w:p>
    <w:p w14:paraId="4CABFA7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26.</w:t>
      </w:r>
      <w:r w:rsidRPr="006D205F">
        <w:rPr>
          <w:rFonts w:cs="Times New Roman"/>
          <w:noProof/>
          <w:sz w:val="16"/>
          <w:szCs w:val="24"/>
        </w:rPr>
        <w:tab/>
        <w:t xml:space="preserve">AGN expands hydrogen to QLD . </w:t>
      </w:r>
      <w:r w:rsidRPr="006D205F">
        <w:rPr>
          <w:rFonts w:cs="Times New Roman"/>
          <w:i/>
          <w:iCs/>
          <w:noProof/>
          <w:sz w:val="16"/>
          <w:szCs w:val="24"/>
        </w:rPr>
        <w:t>The Australian Pipeliner</w:t>
      </w:r>
      <w:r w:rsidRPr="006D205F">
        <w:rPr>
          <w:rFonts w:cs="Times New Roman"/>
          <w:noProof/>
          <w:sz w:val="16"/>
          <w:szCs w:val="24"/>
        </w:rPr>
        <w:t xml:space="preserve"> https://www.pipeliner.com.au/2020/03/05/agn-expands-hydrogen-to-qld/ (2020).</w:t>
      </w:r>
    </w:p>
    <w:p w14:paraId="7CB5299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27.</w:t>
      </w:r>
      <w:r w:rsidRPr="006D205F">
        <w:rPr>
          <w:rFonts w:cs="Times New Roman"/>
          <w:noProof/>
          <w:sz w:val="16"/>
          <w:szCs w:val="24"/>
        </w:rPr>
        <w:tab/>
        <w:t>AGIG. Hydrogen Park Gladstone . https://www.agig.com.au/hydrogen-park-gladstone (2021).</w:t>
      </w:r>
    </w:p>
    <w:p w14:paraId="4D091E5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28.</w:t>
      </w:r>
      <w:r w:rsidRPr="006D205F">
        <w:rPr>
          <w:rFonts w:cs="Times New Roman"/>
          <w:noProof/>
          <w:sz w:val="16"/>
          <w:szCs w:val="24"/>
        </w:rPr>
        <w:tab/>
        <w:t>APA Renewable Methane Demonstration Project - Australian Renewable Energy Agency (ARENA).</w:t>
      </w:r>
    </w:p>
    <w:p w14:paraId="71DE722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29.</w:t>
      </w:r>
      <w:r w:rsidRPr="006D205F">
        <w:rPr>
          <w:rFonts w:cs="Times New Roman"/>
          <w:noProof/>
          <w:sz w:val="16"/>
          <w:szCs w:val="24"/>
        </w:rPr>
        <w:tab/>
        <w:t>APA to trial renewable methane in Australia’s gas pipelines – pv magazine Australia.</w:t>
      </w:r>
    </w:p>
    <w:p w14:paraId="7DCF48D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30.</w:t>
      </w:r>
      <w:r w:rsidRPr="006D205F">
        <w:rPr>
          <w:rFonts w:cs="Times New Roman"/>
          <w:noProof/>
          <w:sz w:val="16"/>
          <w:szCs w:val="24"/>
        </w:rPr>
        <w:tab/>
        <w:t xml:space="preserve">Mazengarb, M. Regional NSW town to host large-scale hydrogen energy storage project – state’s first . </w:t>
      </w:r>
      <w:r w:rsidRPr="006D205F">
        <w:rPr>
          <w:rFonts w:cs="Times New Roman"/>
          <w:i/>
          <w:iCs/>
          <w:noProof/>
          <w:sz w:val="16"/>
          <w:szCs w:val="24"/>
        </w:rPr>
        <w:t>RenewEconomy</w:t>
      </w:r>
      <w:r w:rsidRPr="006D205F">
        <w:rPr>
          <w:rFonts w:cs="Times New Roman"/>
          <w:noProof/>
          <w:sz w:val="16"/>
          <w:szCs w:val="24"/>
        </w:rPr>
        <w:t xml:space="preserve"> https://reneweconomy.com.au/regional-nsw-town-to-host-large-scale-hydrogen-energy-storage-project-states-first-79334/ (2020).</w:t>
      </w:r>
    </w:p>
    <w:p w14:paraId="142A634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31.</w:t>
      </w:r>
      <w:r w:rsidRPr="006D205F">
        <w:rPr>
          <w:rFonts w:cs="Times New Roman"/>
          <w:noProof/>
          <w:sz w:val="16"/>
          <w:szCs w:val="24"/>
        </w:rPr>
        <w:tab/>
        <w:t>Infinite Blue Energy. Project NEO 1 GW Baseload. https://infiniteblueenergy.com/project/project-neo-coming-soon/.</w:t>
      </w:r>
    </w:p>
    <w:p w14:paraId="3930834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32.</w:t>
      </w:r>
      <w:r w:rsidRPr="006D205F">
        <w:rPr>
          <w:rFonts w:cs="Times New Roman"/>
          <w:noProof/>
          <w:sz w:val="16"/>
          <w:szCs w:val="24"/>
        </w:rPr>
        <w:tab/>
        <w:t xml:space="preserve">Dabas, C. New South Wales to transition to 100% green hydrogen electricity . </w:t>
      </w:r>
      <w:r w:rsidRPr="006D205F">
        <w:rPr>
          <w:rFonts w:cs="Times New Roman"/>
          <w:i/>
          <w:iCs/>
          <w:noProof/>
          <w:sz w:val="16"/>
          <w:szCs w:val="24"/>
        </w:rPr>
        <w:t>Energy Live News</w:t>
      </w:r>
      <w:r w:rsidRPr="006D205F">
        <w:rPr>
          <w:rFonts w:cs="Times New Roman"/>
          <w:noProof/>
          <w:sz w:val="16"/>
          <w:szCs w:val="24"/>
        </w:rPr>
        <w:t xml:space="preserve"> https://www.energylivenews.com/2020/05/22/new-south-wales-to-transition-to-100-green-hydrogen-electricity/ (2020).</w:t>
      </w:r>
    </w:p>
    <w:p w14:paraId="1528E96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33.</w:t>
      </w:r>
      <w:r w:rsidRPr="006D205F">
        <w:rPr>
          <w:rFonts w:cs="Times New Roman"/>
          <w:noProof/>
          <w:sz w:val="16"/>
          <w:szCs w:val="24"/>
        </w:rPr>
        <w:tab/>
        <w:t>Jemena’s Western Sydney Green Gas Project - Jemena.</w:t>
      </w:r>
    </w:p>
    <w:p w14:paraId="5D8EC72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34.</w:t>
      </w:r>
      <w:r w:rsidRPr="006D205F">
        <w:rPr>
          <w:rFonts w:cs="Times New Roman"/>
          <w:noProof/>
          <w:sz w:val="16"/>
          <w:szCs w:val="24"/>
        </w:rPr>
        <w:tab/>
        <w:t>The future of hydrogen: how</w:t>
      </w:r>
      <w:r w:rsidRPr="006D205F">
        <w:rPr>
          <w:rFonts w:ascii="Times New Roman" w:hAnsi="Times New Roman" w:cs="Times New Roman"/>
          <w:noProof/>
          <w:sz w:val="16"/>
          <w:szCs w:val="24"/>
        </w:rPr>
        <w:t>‌</w:t>
      </w:r>
      <w:r w:rsidRPr="006D205F">
        <w:rPr>
          <w:rFonts w:cs="Times New Roman"/>
          <w:noProof/>
          <w:sz w:val="16"/>
          <w:szCs w:val="24"/>
        </w:rPr>
        <w:t xml:space="preserve"> </w:t>
      </w:r>
      <w:r w:rsidRPr="006D205F">
        <w:rPr>
          <w:rFonts w:ascii="Times New Roman" w:hAnsi="Times New Roman" w:cs="Times New Roman"/>
          <w:noProof/>
          <w:sz w:val="16"/>
          <w:szCs w:val="24"/>
        </w:rPr>
        <w:t>‌</w:t>
      </w:r>
      <w:r w:rsidRPr="006D205F">
        <w:rPr>
          <w:rFonts w:cs="Times New Roman"/>
          <w:noProof/>
          <w:sz w:val="16"/>
          <w:szCs w:val="24"/>
        </w:rPr>
        <w:t>to</w:t>
      </w:r>
      <w:r w:rsidRPr="006D205F">
        <w:rPr>
          <w:rFonts w:ascii="Times New Roman" w:hAnsi="Times New Roman" w:cs="Times New Roman"/>
          <w:noProof/>
          <w:sz w:val="16"/>
          <w:szCs w:val="24"/>
        </w:rPr>
        <w:t>‌</w:t>
      </w:r>
      <w:r w:rsidRPr="006D205F">
        <w:rPr>
          <w:rFonts w:cs="Times New Roman"/>
          <w:noProof/>
          <w:sz w:val="16"/>
          <w:szCs w:val="24"/>
        </w:rPr>
        <w:t xml:space="preserve"> </w:t>
      </w:r>
      <w:r w:rsidRPr="006D205F">
        <w:rPr>
          <w:rFonts w:ascii="Times New Roman" w:hAnsi="Times New Roman" w:cs="Times New Roman"/>
          <w:noProof/>
          <w:sz w:val="16"/>
          <w:szCs w:val="24"/>
        </w:rPr>
        <w:t>‌</w:t>
      </w:r>
      <w:r w:rsidRPr="006D205F">
        <w:rPr>
          <w:rFonts w:cs="Times New Roman"/>
          <w:noProof/>
          <w:sz w:val="16"/>
          <w:szCs w:val="24"/>
        </w:rPr>
        <w:t>build</w:t>
      </w:r>
      <w:r w:rsidRPr="006D205F">
        <w:rPr>
          <w:rFonts w:ascii="Times New Roman" w:hAnsi="Times New Roman" w:cs="Times New Roman"/>
          <w:noProof/>
          <w:sz w:val="16"/>
          <w:szCs w:val="24"/>
        </w:rPr>
        <w:t>‌</w:t>
      </w:r>
      <w:r w:rsidRPr="006D205F">
        <w:rPr>
          <w:rFonts w:cs="Times New Roman"/>
          <w:noProof/>
          <w:sz w:val="16"/>
          <w:szCs w:val="24"/>
        </w:rPr>
        <w:t xml:space="preserve"> </w:t>
      </w:r>
      <w:r w:rsidRPr="006D205F">
        <w:rPr>
          <w:rFonts w:ascii="Times New Roman" w:hAnsi="Times New Roman" w:cs="Times New Roman"/>
          <w:noProof/>
          <w:sz w:val="16"/>
          <w:szCs w:val="24"/>
        </w:rPr>
        <w:t>‌</w:t>
      </w:r>
      <w:r w:rsidRPr="006D205F">
        <w:rPr>
          <w:rFonts w:cs="Times New Roman"/>
          <w:noProof/>
          <w:sz w:val="16"/>
          <w:szCs w:val="24"/>
        </w:rPr>
        <w:t>an</w:t>
      </w:r>
      <w:r w:rsidRPr="006D205F">
        <w:rPr>
          <w:rFonts w:ascii="Times New Roman" w:hAnsi="Times New Roman" w:cs="Times New Roman"/>
          <w:noProof/>
          <w:sz w:val="16"/>
          <w:szCs w:val="24"/>
        </w:rPr>
        <w:t>‌</w:t>
      </w:r>
      <w:r w:rsidRPr="006D205F">
        <w:rPr>
          <w:rFonts w:cs="Times New Roman"/>
          <w:noProof/>
          <w:sz w:val="16"/>
          <w:szCs w:val="24"/>
        </w:rPr>
        <w:t xml:space="preserve"> </w:t>
      </w:r>
      <w:r w:rsidRPr="006D205F">
        <w:rPr>
          <w:rFonts w:ascii="Times New Roman" w:hAnsi="Times New Roman" w:cs="Times New Roman"/>
          <w:noProof/>
          <w:sz w:val="16"/>
          <w:szCs w:val="24"/>
        </w:rPr>
        <w:t>‌</w:t>
      </w:r>
      <w:r w:rsidRPr="006D205F">
        <w:rPr>
          <w:rFonts w:cs="Times New Roman"/>
          <w:noProof/>
          <w:sz w:val="16"/>
          <w:szCs w:val="24"/>
        </w:rPr>
        <w:t>electrolyser</w:t>
      </w:r>
      <w:r w:rsidRPr="006D205F">
        <w:rPr>
          <w:rFonts w:ascii="Times New Roman" w:hAnsi="Times New Roman" w:cs="Times New Roman"/>
          <w:noProof/>
          <w:sz w:val="16"/>
          <w:szCs w:val="24"/>
        </w:rPr>
        <w:t>‌</w:t>
      </w:r>
      <w:r w:rsidRPr="006D205F">
        <w:rPr>
          <w:rFonts w:cs="Times New Roman"/>
          <w:noProof/>
          <w:sz w:val="16"/>
          <w:szCs w:val="24"/>
        </w:rPr>
        <w:t xml:space="preserve"> | Energy Magazine.</w:t>
      </w:r>
    </w:p>
    <w:p w14:paraId="497AAF28"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35.</w:t>
      </w:r>
      <w:r w:rsidRPr="006D205F">
        <w:rPr>
          <w:rFonts w:cs="Times New Roman"/>
          <w:noProof/>
          <w:sz w:val="16"/>
          <w:szCs w:val="24"/>
        </w:rPr>
        <w:tab/>
        <w:t xml:space="preserve">CSIRO. Western Sydney Green Gas Project . </w:t>
      </w:r>
      <w:r w:rsidRPr="006D205F">
        <w:rPr>
          <w:rFonts w:cs="Times New Roman"/>
          <w:i/>
          <w:iCs/>
          <w:noProof/>
          <w:sz w:val="16"/>
          <w:szCs w:val="24"/>
        </w:rPr>
        <w:t>HyResource</w:t>
      </w:r>
      <w:r w:rsidRPr="006D205F">
        <w:rPr>
          <w:rFonts w:cs="Times New Roman"/>
          <w:noProof/>
          <w:sz w:val="16"/>
          <w:szCs w:val="24"/>
        </w:rPr>
        <w:t xml:space="preserve"> https://research.csiro.au/hyresource/western-sydney-green-gas-project/ (2020).</w:t>
      </w:r>
    </w:p>
    <w:p w14:paraId="029E6DC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36.</w:t>
      </w:r>
      <w:r w:rsidRPr="006D205F">
        <w:rPr>
          <w:rFonts w:cs="Times New Roman"/>
          <w:noProof/>
          <w:sz w:val="16"/>
          <w:szCs w:val="24"/>
        </w:rPr>
        <w:tab/>
        <w:t xml:space="preserve">Chief Minister, T. and E. D. D. Australia’s first public hydrogen refuelling station opens in Canberra  . </w:t>
      </w:r>
      <w:r w:rsidRPr="006D205F">
        <w:rPr>
          <w:rFonts w:cs="Times New Roman"/>
          <w:i/>
          <w:iCs/>
          <w:noProof/>
          <w:sz w:val="16"/>
          <w:szCs w:val="24"/>
        </w:rPr>
        <w:t>Media Releases</w:t>
      </w:r>
      <w:r w:rsidRPr="006D205F">
        <w:rPr>
          <w:rFonts w:cs="Times New Roman"/>
          <w:noProof/>
          <w:sz w:val="16"/>
          <w:szCs w:val="24"/>
        </w:rPr>
        <w:t xml:space="preserve"> https://www.cmtedd.act.gov.au/open_government/inform/act_government_media_releases/rattenbury/2021/australias-first-public-hydrogen-refuelling-station-opens-in-canberra (2021).</w:t>
      </w:r>
    </w:p>
    <w:p w14:paraId="12E5E90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37.</w:t>
      </w:r>
      <w:r w:rsidRPr="006D205F">
        <w:rPr>
          <w:rFonts w:cs="Times New Roman"/>
          <w:noProof/>
          <w:sz w:val="16"/>
          <w:szCs w:val="24"/>
        </w:rPr>
        <w:tab/>
        <w:t xml:space="preserve">Mazengarb, M. ACT unveils Australia’s first public hydrogen refuelling station. </w:t>
      </w:r>
      <w:r w:rsidRPr="006D205F">
        <w:rPr>
          <w:rFonts w:cs="Times New Roman"/>
          <w:i/>
          <w:iCs/>
          <w:noProof/>
          <w:sz w:val="16"/>
          <w:szCs w:val="24"/>
        </w:rPr>
        <w:t>The Driven</w:t>
      </w:r>
      <w:r w:rsidRPr="006D205F">
        <w:rPr>
          <w:rFonts w:cs="Times New Roman"/>
          <w:noProof/>
          <w:sz w:val="16"/>
          <w:szCs w:val="24"/>
        </w:rPr>
        <w:t xml:space="preserve"> https://thedriven.io/2021/03/26/act-unveils-australias-first-public-hydrogen-refuelling-station/ (2021).</w:t>
      </w:r>
    </w:p>
    <w:p w14:paraId="192A39F8"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38.</w:t>
      </w:r>
      <w:r w:rsidRPr="006D205F">
        <w:rPr>
          <w:rFonts w:cs="Times New Roman"/>
          <w:noProof/>
          <w:sz w:val="16"/>
          <w:szCs w:val="24"/>
        </w:rPr>
        <w:tab/>
        <w:t xml:space="preserve">CSIRO. Renewable Hydrogen Refuelling Pilot . </w:t>
      </w:r>
      <w:r w:rsidRPr="006D205F">
        <w:rPr>
          <w:rFonts w:cs="Times New Roman"/>
          <w:i/>
          <w:iCs/>
          <w:noProof/>
          <w:sz w:val="16"/>
          <w:szCs w:val="24"/>
        </w:rPr>
        <w:t>HyResource</w:t>
      </w:r>
      <w:r w:rsidRPr="006D205F">
        <w:rPr>
          <w:rFonts w:cs="Times New Roman"/>
          <w:noProof/>
          <w:sz w:val="16"/>
          <w:szCs w:val="24"/>
        </w:rPr>
        <w:t xml:space="preserve"> https://research.csiro.au/hyresource/renewable-hydrogen-refuelling-pilot/ (2020).</w:t>
      </w:r>
    </w:p>
    <w:p w14:paraId="03FEA9F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39.</w:t>
      </w:r>
      <w:r w:rsidRPr="006D205F">
        <w:rPr>
          <w:rFonts w:cs="Times New Roman"/>
          <w:noProof/>
          <w:sz w:val="16"/>
          <w:szCs w:val="24"/>
        </w:rPr>
        <w:tab/>
        <w:t xml:space="preserve">Mazengarb, M. Australia’s first three commercial green hydrogen projects to share $103m ARENA funds. </w:t>
      </w:r>
      <w:r w:rsidRPr="006D205F">
        <w:rPr>
          <w:rFonts w:cs="Times New Roman"/>
          <w:i/>
          <w:iCs/>
          <w:noProof/>
          <w:sz w:val="16"/>
          <w:szCs w:val="24"/>
        </w:rPr>
        <w:t>RenewEconomy</w:t>
      </w:r>
      <w:r w:rsidRPr="006D205F">
        <w:rPr>
          <w:rFonts w:cs="Times New Roman"/>
          <w:noProof/>
          <w:sz w:val="16"/>
          <w:szCs w:val="24"/>
        </w:rPr>
        <w:t xml:space="preserve"> https://reneweconomy.com.au/australias-first-three-commercial-green-hydrogen-projects-to-share-103m-arena-funds/ (2021).</w:t>
      </w:r>
    </w:p>
    <w:p w14:paraId="5BCA945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40.</w:t>
      </w:r>
      <w:r w:rsidRPr="006D205F">
        <w:rPr>
          <w:rFonts w:cs="Times New Roman"/>
          <w:noProof/>
          <w:sz w:val="16"/>
          <w:szCs w:val="24"/>
        </w:rPr>
        <w:tab/>
        <w:t xml:space="preserve">Ludlow, M. &amp; Macdonald-Smith, A. ARENA tips $100m into three hydrogen projects. </w:t>
      </w:r>
      <w:r w:rsidRPr="006D205F">
        <w:rPr>
          <w:rFonts w:cs="Times New Roman"/>
          <w:i/>
          <w:iCs/>
          <w:noProof/>
          <w:sz w:val="16"/>
          <w:szCs w:val="24"/>
        </w:rPr>
        <w:t>Financial Review</w:t>
      </w:r>
      <w:r w:rsidRPr="006D205F">
        <w:rPr>
          <w:rFonts w:cs="Times New Roman"/>
          <w:noProof/>
          <w:sz w:val="16"/>
          <w:szCs w:val="24"/>
        </w:rPr>
        <w:t xml:space="preserve"> https://www.afr.com/companies/energy/arena-tips-100m-into-three-hydrogen-projects-20210504-p57otr (2021).</w:t>
      </w:r>
    </w:p>
    <w:p w14:paraId="05AA796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41.</w:t>
      </w:r>
      <w:r w:rsidRPr="006D205F">
        <w:rPr>
          <w:rFonts w:cs="Times New Roman"/>
          <w:noProof/>
          <w:sz w:val="16"/>
          <w:szCs w:val="24"/>
        </w:rPr>
        <w:tab/>
        <w:t>Construction starts on a world first liquid hydrogen project in Victoria - Invest Victoria.</w:t>
      </w:r>
    </w:p>
    <w:p w14:paraId="77FFE7B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42.</w:t>
      </w:r>
      <w:r w:rsidRPr="006D205F">
        <w:rPr>
          <w:rFonts w:cs="Times New Roman"/>
          <w:noProof/>
          <w:sz w:val="16"/>
          <w:szCs w:val="24"/>
        </w:rPr>
        <w:tab/>
        <w:t>Hydrogen Engineering Australia. Hydrogen Energy Supply Chain. https://hydrogenenergysupplychain.com/ (2020).</w:t>
      </w:r>
    </w:p>
    <w:p w14:paraId="2F69310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43.</w:t>
      </w:r>
      <w:r w:rsidRPr="006D205F">
        <w:rPr>
          <w:rFonts w:cs="Times New Roman"/>
          <w:noProof/>
          <w:sz w:val="16"/>
          <w:szCs w:val="24"/>
        </w:rPr>
        <w:tab/>
        <w:t>HESC. Community and sustainability - Emissions. https://hydrogenenergysupplychain.com/community-and-sustainability/.</w:t>
      </w:r>
    </w:p>
    <w:p w14:paraId="718A690D"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44.</w:t>
      </w:r>
      <w:r w:rsidRPr="006D205F">
        <w:rPr>
          <w:rFonts w:cs="Times New Roman"/>
          <w:noProof/>
          <w:sz w:val="16"/>
          <w:szCs w:val="24"/>
        </w:rPr>
        <w:tab/>
        <w:t>Victoria Government. The CarbonNet Project - Earth Resources. https://earthresources.vic.gov.au/projects/carbonnet-project.</w:t>
      </w:r>
    </w:p>
    <w:p w14:paraId="65ED0890"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45.</w:t>
      </w:r>
      <w:r w:rsidRPr="006D205F">
        <w:rPr>
          <w:rFonts w:cs="Times New Roman"/>
          <w:noProof/>
          <w:sz w:val="16"/>
          <w:szCs w:val="24"/>
        </w:rPr>
        <w:tab/>
        <w:t xml:space="preserve">Mazengarb, M. Consortium proposes 80MW solar farm and green hydrogen facility in Victoria . </w:t>
      </w:r>
      <w:r w:rsidRPr="006D205F">
        <w:rPr>
          <w:rFonts w:cs="Times New Roman"/>
          <w:i/>
          <w:iCs/>
          <w:noProof/>
          <w:sz w:val="16"/>
          <w:szCs w:val="24"/>
        </w:rPr>
        <w:t>RenewEconomy</w:t>
      </w:r>
      <w:r w:rsidRPr="006D205F">
        <w:rPr>
          <w:rFonts w:cs="Times New Roman"/>
          <w:noProof/>
          <w:sz w:val="16"/>
          <w:szCs w:val="24"/>
        </w:rPr>
        <w:t xml:space="preserve"> https://reneweconomy.com.au/consortium-proposes-80mw-solar-farm-and-green-hydrogen-facility-in-victoria-39922/ (2019).</w:t>
      </w:r>
    </w:p>
    <w:p w14:paraId="516E6B6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46.</w:t>
      </w:r>
      <w:r w:rsidRPr="006D205F">
        <w:rPr>
          <w:rFonts w:cs="Times New Roman"/>
          <w:noProof/>
          <w:sz w:val="16"/>
          <w:szCs w:val="24"/>
        </w:rPr>
        <w:tab/>
        <w:t xml:space="preserve">CSIRO. Portland Renewable Hydrogen Project . </w:t>
      </w:r>
      <w:r w:rsidRPr="006D205F">
        <w:rPr>
          <w:rFonts w:cs="Times New Roman"/>
          <w:i/>
          <w:iCs/>
          <w:noProof/>
          <w:sz w:val="16"/>
          <w:szCs w:val="24"/>
        </w:rPr>
        <w:t>HyResource</w:t>
      </w:r>
      <w:r w:rsidRPr="006D205F">
        <w:rPr>
          <w:rFonts w:cs="Times New Roman"/>
          <w:noProof/>
          <w:sz w:val="16"/>
          <w:szCs w:val="24"/>
        </w:rPr>
        <w:t xml:space="preserve"> https://research.csiro.au/hyresource/portland-renewable-hydrogen-project/ (2021).</w:t>
      </w:r>
    </w:p>
    <w:p w14:paraId="141C431D"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47.</w:t>
      </w:r>
      <w:r w:rsidRPr="006D205F">
        <w:rPr>
          <w:rFonts w:cs="Times New Roman"/>
          <w:noProof/>
          <w:sz w:val="16"/>
          <w:szCs w:val="24"/>
        </w:rPr>
        <w:tab/>
        <w:t>Fortescue announces development study into green ammonia plant in Tasmania | Fortescue Metals Group Ltd. https://www.fmgl.com.au/in-the-news/media-releases/2020/11/17/fortescue-announces-development-study-into-green-ammonia-plant-in-tasmania.</w:t>
      </w:r>
    </w:p>
    <w:p w14:paraId="1B47757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48.</w:t>
      </w:r>
      <w:r w:rsidRPr="006D205F">
        <w:rPr>
          <w:rFonts w:cs="Times New Roman"/>
          <w:noProof/>
          <w:sz w:val="16"/>
          <w:szCs w:val="24"/>
        </w:rPr>
        <w:tab/>
        <w:t xml:space="preserve">Macdonald-smith, A. &amp; Thompson, B. Origin, Fortescue in rival hydrogen projects in Tasmania. </w:t>
      </w:r>
      <w:r w:rsidRPr="006D205F">
        <w:rPr>
          <w:rFonts w:cs="Times New Roman"/>
          <w:i/>
          <w:iCs/>
          <w:noProof/>
          <w:sz w:val="16"/>
          <w:szCs w:val="24"/>
        </w:rPr>
        <w:t>Australian Financial Review</w:t>
      </w:r>
      <w:r w:rsidRPr="006D205F">
        <w:rPr>
          <w:rFonts w:cs="Times New Roman"/>
          <w:noProof/>
          <w:sz w:val="16"/>
          <w:szCs w:val="24"/>
        </w:rPr>
        <w:t xml:space="preserve"> https://www.afr.com/companies/energy/origin-fortescue-in-rival-hydrogen-projects-in-tasmania-20201117-p56f76 (2020).</w:t>
      </w:r>
    </w:p>
    <w:p w14:paraId="1F715BF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49.</w:t>
      </w:r>
      <w:r w:rsidRPr="006D205F">
        <w:rPr>
          <w:rFonts w:cs="Times New Roman"/>
          <w:noProof/>
          <w:sz w:val="16"/>
          <w:szCs w:val="24"/>
        </w:rPr>
        <w:tab/>
        <w:t xml:space="preserve">CSIRO. ABEL Energy Bell Bay Powerfuels Project. </w:t>
      </w:r>
      <w:r w:rsidRPr="006D205F">
        <w:rPr>
          <w:rFonts w:cs="Times New Roman"/>
          <w:i/>
          <w:iCs/>
          <w:noProof/>
          <w:sz w:val="16"/>
          <w:szCs w:val="24"/>
        </w:rPr>
        <w:t>HyResource</w:t>
      </w:r>
      <w:r w:rsidRPr="006D205F">
        <w:rPr>
          <w:rFonts w:cs="Times New Roman"/>
          <w:noProof/>
          <w:sz w:val="16"/>
          <w:szCs w:val="24"/>
        </w:rPr>
        <w:t xml:space="preserve"> https://research.csiro.au/hyresource/abel-energy-bell-bay-powerfuels-project/ (2020).</w:t>
      </w:r>
    </w:p>
    <w:p w14:paraId="5AE1425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50.</w:t>
      </w:r>
      <w:r w:rsidRPr="006D205F">
        <w:rPr>
          <w:rFonts w:cs="Times New Roman"/>
          <w:noProof/>
          <w:sz w:val="16"/>
          <w:szCs w:val="24"/>
        </w:rPr>
        <w:tab/>
        <w:t xml:space="preserve">S&amp;P Global Platts. Tasmania chooses four companies for new green hydrogen studies. </w:t>
      </w:r>
      <w:r w:rsidRPr="006D205F">
        <w:rPr>
          <w:rFonts w:cs="Times New Roman"/>
          <w:i/>
          <w:iCs/>
          <w:noProof/>
          <w:sz w:val="16"/>
          <w:szCs w:val="24"/>
        </w:rPr>
        <w:t>Market Insights</w:t>
      </w:r>
      <w:r w:rsidRPr="006D205F">
        <w:rPr>
          <w:rFonts w:cs="Times New Roman"/>
          <w:noProof/>
          <w:sz w:val="16"/>
          <w:szCs w:val="24"/>
        </w:rPr>
        <w:t xml:space="preserve"> https://www.spglobal.com/platts/en/market-insights/latest-news/metals/111720-tasmania-chooses-four-companies-for-new-green-hydrogen-studies (2020).</w:t>
      </w:r>
    </w:p>
    <w:p w14:paraId="0EBA948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51.</w:t>
      </w:r>
      <w:r w:rsidRPr="006D205F">
        <w:rPr>
          <w:rFonts w:cs="Times New Roman"/>
          <w:noProof/>
          <w:sz w:val="16"/>
          <w:szCs w:val="24"/>
        </w:rPr>
        <w:tab/>
        <w:t>ABEL Energy. Bell Bay Power Fuels Project. https://www.abelenergy.com.au/our-projects.</w:t>
      </w:r>
    </w:p>
    <w:p w14:paraId="26E14DE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52.</w:t>
      </w:r>
      <w:r w:rsidRPr="006D205F">
        <w:rPr>
          <w:rFonts w:cs="Times New Roman"/>
          <w:noProof/>
          <w:sz w:val="16"/>
          <w:szCs w:val="24"/>
        </w:rPr>
        <w:tab/>
        <w:t>Origin Energy. Origin to investigate export scale green hydrogen project in Tasmania. https://www.originenergy.com.au/about/investors-media/media-centre/origin_to_investigate_export_scale_green_hydrogen_project_in_tasmania.html#:~:text=17 November 2020-,Origin to investigate export scale green hydrogen project in Tasmania,sustainable water (2020).</w:t>
      </w:r>
    </w:p>
    <w:p w14:paraId="2C771DC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53.</w:t>
      </w:r>
      <w:r w:rsidRPr="006D205F">
        <w:rPr>
          <w:rFonts w:cs="Times New Roman"/>
          <w:noProof/>
          <w:sz w:val="16"/>
          <w:szCs w:val="24"/>
        </w:rPr>
        <w:tab/>
        <w:t xml:space="preserve">Siemens Australia. Hydrogen Demonstration Park. </w:t>
      </w:r>
      <w:r w:rsidRPr="006D205F">
        <w:rPr>
          <w:rFonts w:cs="Times New Roman"/>
          <w:i/>
          <w:iCs/>
          <w:noProof/>
          <w:sz w:val="16"/>
          <w:szCs w:val="24"/>
        </w:rPr>
        <w:t>Press Release</w:t>
      </w:r>
      <w:r w:rsidRPr="006D205F">
        <w:rPr>
          <w:rFonts w:cs="Times New Roman"/>
          <w:noProof/>
          <w:sz w:val="16"/>
          <w:szCs w:val="24"/>
        </w:rPr>
        <w:t xml:space="preserve"> https://new.siemens.com/au/en/company/press-centre/hydrogen-demonstration-park.html (2018).</w:t>
      </w:r>
    </w:p>
    <w:p w14:paraId="70BDC988"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54.</w:t>
      </w:r>
      <w:r w:rsidRPr="006D205F">
        <w:rPr>
          <w:rFonts w:cs="Times New Roman"/>
          <w:noProof/>
          <w:sz w:val="16"/>
          <w:szCs w:val="24"/>
        </w:rPr>
        <w:tab/>
        <w:t>AGIG. Hydrogen Park South Australia - HyP SA. https://www.agig.com.au/hydrogen-park-south-australia (2018).</w:t>
      </w:r>
    </w:p>
    <w:p w14:paraId="3BE964B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55.</w:t>
      </w:r>
      <w:r w:rsidRPr="006D205F">
        <w:rPr>
          <w:rFonts w:cs="Times New Roman"/>
          <w:noProof/>
          <w:sz w:val="16"/>
          <w:szCs w:val="24"/>
        </w:rPr>
        <w:tab/>
        <w:t xml:space="preserve">CSIRO. Hydrogen Park South Australia. </w:t>
      </w:r>
      <w:r w:rsidRPr="006D205F">
        <w:rPr>
          <w:rFonts w:cs="Times New Roman"/>
          <w:i/>
          <w:iCs/>
          <w:noProof/>
          <w:sz w:val="16"/>
          <w:szCs w:val="24"/>
        </w:rPr>
        <w:t>HyResource</w:t>
      </w:r>
      <w:r w:rsidRPr="006D205F">
        <w:rPr>
          <w:rFonts w:cs="Times New Roman"/>
          <w:noProof/>
          <w:sz w:val="16"/>
          <w:szCs w:val="24"/>
        </w:rPr>
        <w:t xml:space="preserve"> https://research.csiro.au/hyresource/hydrogen-park-south-australia/ (2021).</w:t>
      </w:r>
    </w:p>
    <w:p w14:paraId="03CA63B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56.</w:t>
      </w:r>
      <w:r w:rsidRPr="006D205F">
        <w:rPr>
          <w:rFonts w:cs="Times New Roman"/>
          <w:noProof/>
          <w:sz w:val="16"/>
          <w:szCs w:val="24"/>
        </w:rPr>
        <w:tab/>
        <w:t>Renewables SA &amp; Government of South Australia. Neoen Australia Hydrogen Superhub. http://www.renewablessa.sa.gov.au/topic/hydrogen/hydrogen-projects-south-australia/neoen-australia-hydrogen-super-hub.</w:t>
      </w:r>
    </w:p>
    <w:p w14:paraId="0660B1D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57.</w:t>
      </w:r>
      <w:r w:rsidRPr="006D205F">
        <w:rPr>
          <w:rFonts w:cs="Times New Roman"/>
          <w:noProof/>
          <w:sz w:val="16"/>
          <w:szCs w:val="24"/>
        </w:rPr>
        <w:tab/>
        <w:t xml:space="preserve">CSIRO. Neoen Australia Hydrogen Superhub (Crystal Brook Energy Park). </w:t>
      </w:r>
      <w:r w:rsidRPr="006D205F">
        <w:rPr>
          <w:rFonts w:cs="Times New Roman"/>
          <w:i/>
          <w:iCs/>
          <w:noProof/>
          <w:sz w:val="16"/>
          <w:szCs w:val="24"/>
        </w:rPr>
        <w:t>HyResource</w:t>
      </w:r>
      <w:r w:rsidRPr="006D205F">
        <w:rPr>
          <w:rFonts w:cs="Times New Roman"/>
          <w:noProof/>
          <w:sz w:val="16"/>
          <w:szCs w:val="24"/>
        </w:rPr>
        <w:t xml:space="preserve"> https://research.csiro.au/hyresource/neoen-australia-hydrogen-superhub-crystal-brook-energy-park/.</w:t>
      </w:r>
    </w:p>
    <w:p w14:paraId="46931B5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58.</w:t>
      </w:r>
      <w:r w:rsidRPr="006D205F">
        <w:rPr>
          <w:rFonts w:cs="Times New Roman"/>
          <w:noProof/>
          <w:sz w:val="16"/>
          <w:szCs w:val="24"/>
        </w:rPr>
        <w:tab/>
        <w:t>The Eyre Peninsula Gateway Project - Renewables SA. http://www.renewablessa.sa.gov.au/topic/hydrogen/hydrogen-projects-south-australia/hydrogen-green-ammonia-production-facility.</w:t>
      </w:r>
    </w:p>
    <w:p w14:paraId="148D703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59.</w:t>
      </w:r>
      <w:r w:rsidRPr="006D205F">
        <w:rPr>
          <w:rFonts w:cs="Times New Roman"/>
          <w:noProof/>
          <w:sz w:val="16"/>
          <w:szCs w:val="24"/>
        </w:rPr>
        <w:tab/>
        <w:t>Intercontinental Energy. Western green energy hub . https://intercontinentalenergy.com/western-green-energy-hub.</w:t>
      </w:r>
    </w:p>
    <w:p w14:paraId="1117A98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60.</w:t>
      </w:r>
      <w:r w:rsidRPr="006D205F">
        <w:rPr>
          <w:rFonts w:cs="Times New Roman"/>
          <w:noProof/>
          <w:sz w:val="16"/>
          <w:szCs w:val="24"/>
        </w:rPr>
        <w:tab/>
        <w:t xml:space="preserve">Goowdwin, S. T. &amp; Dias, D. World’s biggest green energy hub proposed for south coast of Western Australia . </w:t>
      </w:r>
      <w:r w:rsidRPr="006D205F">
        <w:rPr>
          <w:rFonts w:cs="Times New Roman"/>
          <w:i/>
          <w:iCs/>
          <w:noProof/>
          <w:sz w:val="16"/>
          <w:szCs w:val="24"/>
        </w:rPr>
        <w:t>ABC</w:t>
      </w:r>
      <w:r w:rsidRPr="006D205F">
        <w:rPr>
          <w:rFonts w:cs="Times New Roman"/>
          <w:noProof/>
          <w:sz w:val="16"/>
          <w:szCs w:val="24"/>
        </w:rPr>
        <w:t xml:space="preserve"> https://www.abc.net.au/news/2021-07-13/green-energy-hub-planned-for-south-coast-of-wa/100288734?utm_campaign=news-article-share-control&amp;utm_content=linked-in&amp;utm_medium=content_shared&amp;utm_source=abc_news_web (2021).</w:t>
      </w:r>
    </w:p>
    <w:p w14:paraId="53CE8F6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61.</w:t>
      </w:r>
      <w:r w:rsidRPr="006D205F">
        <w:rPr>
          <w:rFonts w:cs="Times New Roman"/>
          <w:noProof/>
          <w:sz w:val="16"/>
          <w:szCs w:val="24"/>
        </w:rPr>
        <w:tab/>
        <w:t xml:space="preserve">Parkinson, G. World’s biggest wind and solar hydrogen hub planned for south-west Australia . </w:t>
      </w:r>
      <w:r w:rsidRPr="006D205F">
        <w:rPr>
          <w:rFonts w:cs="Times New Roman"/>
          <w:i/>
          <w:iCs/>
          <w:noProof/>
          <w:sz w:val="16"/>
          <w:szCs w:val="24"/>
        </w:rPr>
        <w:t>RenewEconomy</w:t>
      </w:r>
      <w:r w:rsidRPr="006D205F">
        <w:rPr>
          <w:rFonts w:cs="Times New Roman"/>
          <w:noProof/>
          <w:sz w:val="16"/>
          <w:szCs w:val="24"/>
        </w:rPr>
        <w:t xml:space="preserve"> https://reneweconomy.com.au/worlds-biggest-renewable-energy-hub-planned-for-south-west-australia/ (2021).</w:t>
      </w:r>
    </w:p>
    <w:p w14:paraId="3661596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62.</w:t>
      </w:r>
      <w:r w:rsidRPr="006D205F">
        <w:rPr>
          <w:rFonts w:cs="Times New Roman"/>
          <w:noProof/>
          <w:sz w:val="16"/>
          <w:szCs w:val="24"/>
        </w:rPr>
        <w:tab/>
        <w:t xml:space="preserve">Readfearn, G. Plan to build world’s biggest renewable energy hub in Western Australia . </w:t>
      </w:r>
      <w:r w:rsidRPr="006D205F">
        <w:rPr>
          <w:rFonts w:cs="Times New Roman"/>
          <w:i/>
          <w:iCs/>
          <w:noProof/>
          <w:sz w:val="16"/>
          <w:szCs w:val="24"/>
        </w:rPr>
        <w:t>The Guardian</w:t>
      </w:r>
      <w:r w:rsidRPr="006D205F">
        <w:rPr>
          <w:rFonts w:cs="Times New Roman"/>
          <w:noProof/>
          <w:sz w:val="16"/>
          <w:szCs w:val="24"/>
        </w:rPr>
        <w:t xml:space="preserve"> https://www.theguardian.com/environment/2021/jul/13/plan-to-build-worlds-biggest-renewable-energy-hub-in-western-australia (2021).</w:t>
      </w:r>
    </w:p>
    <w:p w14:paraId="4FB0D56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63.</w:t>
      </w:r>
      <w:r w:rsidRPr="006D205F">
        <w:rPr>
          <w:rFonts w:cs="Times New Roman"/>
          <w:noProof/>
          <w:sz w:val="16"/>
          <w:szCs w:val="24"/>
        </w:rPr>
        <w:tab/>
        <w:t>ATCO. ATCO investigates renewable natural gas in Albany, Western Australia. https://www.atco.com/en-au/about-us/stories/atco-renewable-natural-gas-albany.html (2020).</w:t>
      </w:r>
    </w:p>
    <w:p w14:paraId="4DF8E28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64.</w:t>
      </w:r>
      <w:r w:rsidRPr="006D205F">
        <w:rPr>
          <w:rFonts w:cs="Times New Roman"/>
          <w:noProof/>
          <w:sz w:val="16"/>
          <w:szCs w:val="24"/>
        </w:rPr>
        <w:tab/>
        <w:t>Australian Renewable Energy Agency. The Hazer Process: Commercial Demonstration Plant. https://arena.gov.au/projects/the-hazer-process-commercial-demonstration-plant/ (2020).</w:t>
      </w:r>
    </w:p>
    <w:p w14:paraId="60185C9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65.</w:t>
      </w:r>
      <w:r w:rsidRPr="006D205F">
        <w:rPr>
          <w:rFonts w:cs="Times New Roman"/>
          <w:noProof/>
          <w:sz w:val="16"/>
          <w:szCs w:val="24"/>
        </w:rPr>
        <w:tab/>
        <w:t xml:space="preserve">CSIRO. Hazer Commercial Demonstration Plant . </w:t>
      </w:r>
      <w:r w:rsidRPr="006D205F">
        <w:rPr>
          <w:rFonts w:cs="Times New Roman"/>
          <w:i/>
          <w:iCs/>
          <w:noProof/>
          <w:sz w:val="16"/>
          <w:szCs w:val="24"/>
        </w:rPr>
        <w:t>HyResource</w:t>
      </w:r>
      <w:r w:rsidRPr="006D205F">
        <w:rPr>
          <w:rFonts w:cs="Times New Roman"/>
          <w:noProof/>
          <w:sz w:val="16"/>
          <w:szCs w:val="24"/>
        </w:rPr>
        <w:t xml:space="preserve"> https://research.csiro.au/hyresource/hazer-commercial-demonstration-plant/ (2020).</w:t>
      </w:r>
    </w:p>
    <w:p w14:paraId="21A5FCF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66.</w:t>
      </w:r>
      <w:r w:rsidRPr="006D205F">
        <w:rPr>
          <w:rFonts w:cs="Times New Roman"/>
          <w:noProof/>
          <w:sz w:val="16"/>
          <w:szCs w:val="24"/>
        </w:rPr>
        <w:tab/>
        <w:t xml:space="preserve">CSIRO. Badgingarra Renewable Hydrogen Project . </w:t>
      </w:r>
      <w:r w:rsidRPr="006D205F">
        <w:rPr>
          <w:rFonts w:cs="Times New Roman"/>
          <w:i/>
          <w:iCs/>
          <w:noProof/>
          <w:sz w:val="16"/>
          <w:szCs w:val="24"/>
        </w:rPr>
        <w:t>HyResource</w:t>
      </w:r>
      <w:r w:rsidRPr="006D205F">
        <w:rPr>
          <w:rFonts w:cs="Times New Roman"/>
          <w:noProof/>
          <w:sz w:val="16"/>
          <w:szCs w:val="24"/>
        </w:rPr>
        <w:t xml:space="preserve"> https://research.csiro.au/hyresource/badgingarra-renewable-hydrogen-project/ (2020).</w:t>
      </w:r>
    </w:p>
    <w:p w14:paraId="77E6EC0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67.</w:t>
      </w:r>
      <w:r w:rsidRPr="006D205F">
        <w:rPr>
          <w:rFonts w:cs="Times New Roman"/>
          <w:noProof/>
          <w:sz w:val="16"/>
          <w:szCs w:val="24"/>
        </w:rPr>
        <w:tab/>
        <w:t>Infinite Blue Energy. Arrowsmith Hydrogen Plant stage 1. https://www.infiniteblueenergy.com/projects/arrowsmith-hydrogen-plant-stage-1/.</w:t>
      </w:r>
    </w:p>
    <w:p w14:paraId="70F9568D"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68.</w:t>
      </w:r>
      <w:r w:rsidRPr="006D205F">
        <w:rPr>
          <w:rFonts w:cs="Times New Roman"/>
          <w:noProof/>
          <w:sz w:val="16"/>
          <w:szCs w:val="24"/>
        </w:rPr>
        <w:tab/>
        <w:t>Infinite Blue Energy. Arrowsmith Hydrogen Plant stage 2 . https://www.infiniteblueenergy.com/projects/arrowsmith-hydrogen-plant-stage-2/.</w:t>
      </w:r>
    </w:p>
    <w:p w14:paraId="287A5E3A"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69.</w:t>
      </w:r>
      <w:r w:rsidRPr="006D205F">
        <w:rPr>
          <w:rFonts w:cs="Times New Roman"/>
          <w:noProof/>
          <w:sz w:val="16"/>
          <w:szCs w:val="24"/>
        </w:rPr>
        <w:tab/>
        <w:t xml:space="preserve">Infinite Blue Energy. Infinite Blue Energy progresses Perth green hydrogen plant . </w:t>
      </w:r>
      <w:r w:rsidRPr="006D205F">
        <w:rPr>
          <w:rFonts w:cs="Times New Roman"/>
          <w:i/>
          <w:iCs/>
          <w:noProof/>
          <w:sz w:val="16"/>
          <w:szCs w:val="24"/>
        </w:rPr>
        <w:t>2020</w:t>
      </w:r>
      <w:r w:rsidRPr="006D205F">
        <w:rPr>
          <w:rFonts w:cs="Times New Roman"/>
          <w:noProof/>
          <w:sz w:val="16"/>
          <w:szCs w:val="24"/>
        </w:rPr>
        <w:t xml:space="preserve"> https://www.infiniteblueenergy.com/infinite-blue-energy-progresses-perth-green-hydrogen-plant/.</w:t>
      </w:r>
    </w:p>
    <w:p w14:paraId="797DAC69"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70.</w:t>
      </w:r>
      <w:r w:rsidRPr="006D205F">
        <w:rPr>
          <w:rFonts w:cs="Times New Roman"/>
          <w:noProof/>
          <w:sz w:val="16"/>
          <w:szCs w:val="24"/>
        </w:rPr>
        <w:tab/>
        <w:t xml:space="preserve">Mazengarb, M. Massive hydrogen project gets green light after securing $300m investment . </w:t>
      </w:r>
      <w:r w:rsidRPr="006D205F">
        <w:rPr>
          <w:rFonts w:cs="Times New Roman"/>
          <w:i/>
          <w:iCs/>
          <w:noProof/>
          <w:sz w:val="16"/>
          <w:szCs w:val="24"/>
        </w:rPr>
        <w:t>RenewEconomy</w:t>
      </w:r>
      <w:r w:rsidRPr="006D205F">
        <w:rPr>
          <w:rFonts w:cs="Times New Roman"/>
          <w:noProof/>
          <w:sz w:val="16"/>
          <w:szCs w:val="24"/>
        </w:rPr>
        <w:t xml:space="preserve"> https://reneweconomy.com.au/massive-hydrogen-project-gets-green-light-after-securing-300m-investment-68959/ (2020).</w:t>
      </w:r>
    </w:p>
    <w:p w14:paraId="654C341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71.</w:t>
      </w:r>
      <w:r w:rsidRPr="006D205F">
        <w:rPr>
          <w:rFonts w:cs="Times New Roman"/>
          <w:noProof/>
          <w:sz w:val="16"/>
          <w:szCs w:val="24"/>
        </w:rPr>
        <w:tab/>
        <w:t xml:space="preserve">Vorrath, S. Call to develop 1.5GW green hydrogen hub gets ‘super major’ response . </w:t>
      </w:r>
      <w:r w:rsidRPr="006D205F">
        <w:rPr>
          <w:rFonts w:cs="Times New Roman"/>
          <w:i/>
          <w:iCs/>
          <w:noProof/>
          <w:sz w:val="16"/>
          <w:szCs w:val="24"/>
        </w:rPr>
        <w:t>RenewEconomy</w:t>
      </w:r>
      <w:r w:rsidRPr="006D205F">
        <w:rPr>
          <w:rFonts w:cs="Times New Roman"/>
          <w:noProof/>
          <w:sz w:val="16"/>
          <w:szCs w:val="24"/>
        </w:rPr>
        <w:t xml:space="preserve"> https://reneweconomy.com.au/call-to-develop-1-5gw-green-hydrogen-hub-gets-super-major-response/ (2021).</w:t>
      </w:r>
    </w:p>
    <w:p w14:paraId="3776A78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72.</w:t>
      </w:r>
      <w:r w:rsidRPr="006D205F">
        <w:rPr>
          <w:rFonts w:cs="Times New Roman"/>
          <w:noProof/>
          <w:sz w:val="16"/>
          <w:szCs w:val="24"/>
        </w:rPr>
        <w:tab/>
        <w:t>Project GERI Feasibility Study - Australian Renewable Energy Agency (ARENA).</w:t>
      </w:r>
    </w:p>
    <w:p w14:paraId="5E05ABBA"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73.</w:t>
      </w:r>
      <w:r w:rsidRPr="006D205F">
        <w:rPr>
          <w:rFonts w:cs="Times New Roman"/>
          <w:noProof/>
          <w:sz w:val="16"/>
          <w:szCs w:val="24"/>
        </w:rPr>
        <w:tab/>
        <w:t xml:space="preserve">BP. bp Australia announces feasibility study into hydrogen energy production facility. </w:t>
      </w:r>
      <w:r w:rsidRPr="006D205F">
        <w:rPr>
          <w:rFonts w:cs="Times New Roman"/>
          <w:i/>
          <w:iCs/>
          <w:noProof/>
          <w:sz w:val="16"/>
          <w:szCs w:val="24"/>
        </w:rPr>
        <w:t>Press Releases</w:t>
      </w:r>
      <w:r w:rsidRPr="006D205F">
        <w:rPr>
          <w:rFonts w:cs="Times New Roman"/>
          <w:noProof/>
          <w:sz w:val="16"/>
          <w:szCs w:val="24"/>
        </w:rPr>
        <w:t xml:space="preserve"> https://www.bp.com/en_au/australia/home/who-we-are/sustainability/low-carbon-projects/feasibility-study-renewable-hydrogen-production-facility.html (2020).</w:t>
      </w:r>
    </w:p>
    <w:p w14:paraId="1A99D591"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74.</w:t>
      </w:r>
      <w:r w:rsidRPr="006D205F">
        <w:rPr>
          <w:rFonts w:cs="Times New Roman"/>
          <w:noProof/>
          <w:sz w:val="16"/>
          <w:szCs w:val="24"/>
        </w:rPr>
        <w:tab/>
        <w:t xml:space="preserve">Siemens Australia. Murchison Renewable Hydrogen Project. </w:t>
      </w:r>
      <w:r w:rsidRPr="006D205F">
        <w:rPr>
          <w:rFonts w:cs="Times New Roman"/>
          <w:i/>
          <w:iCs/>
          <w:noProof/>
          <w:sz w:val="16"/>
          <w:szCs w:val="24"/>
        </w:rPr>
        <w:t>Press Release</w:t>
      </w:r>
      <w:r w:rsidRPr="006D205F">
        <w:rPr>
          <w:rFonts w:cs="Times New Roman"/>
          <w:noProof/>
          <w:sz w:val="16"/>
          <w:szCs w:val="24"/>
        </w:rPr>
        <w:t xml:space="preserve"> https://new.siemens.com/au/en/company/press-centre/2019/murchison-renewable-hydrogen-project.html (2019).</w:t>
      </w:r>
    </w:p>
    <w:p w14:paraId="1AA2CAB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75.</w:t>
      </w:r>
      <w:r w:rsidRPr="006D205F">
        <w:rPr>
          <w:rFonts w:cs="Times New Roman"/>
          <w:noProof/>
          <w:sz w:val="16"/>
          <w:szCs w:val="24"/>
        </w:rPr>
        <w:tab/>
        <w:t xml:space="preserve">Hydrogen Renewables Australia. Hydrogen Renewables Australia and Copenhagen Infrastructure Partners announce partnership on the Murchison Renewable Hydrogen Project. </w:t>
      </w:r>
      <w:r w:rsidRPr="006D205F">
        <w:rPr>
          <w:rFonts w:cs="Times New Roman"/>
          <w:i/>
          <w:iCs/>
          <w:noProof/>
          <w:sz w:val="16"/>
          <w:szCs w:val="24"/>
        </w:rPr>
        <w:t>Media Release</w:t>
      </w:r>
      <w:r w:rsidRPr="006D205F">
        <w:rPr>
          <w:rFonts w:cs="Times New Roman"/>
          <w:noProof/>
          <w:sz w:val="16"/>
          <w:szCs w:val="24"/>
        </w:rPr>
        <w:t xml:space="preserve"> (2020).</w:t>
      </w:r>
    </w:p>
    <w:p w14:paraId="72484478"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76.</w:t>
      </w:r>
      <w:r w:rsidRPr="006D205F">
        <w:rPr>
          <w:rFonts w:cs="Times New Roman"/>
          <w:noProof/>
          <w:sz w:val="16"/>
          <w:szCs w:val="24"/>
        </w:rPr>
        <w:tab/>
        <w:t xml:space="preserve">Australian Renewable Energy Agency. Horizon Power Denham Hydrogen Demonstration. </w:t>
      </w:r>
      <w:r w:rsidRPr="006D205F">
        <w:rPr>
          <w:rFonts w:cs="Times New Roman"/>
          <w:i/>
          <w:iCs/>
          <w:noProof/>
          <w:sz w:val="16"/>
          <w:szCs w:val="24"/>
        </w:rPr>
        <w:t>Projects</w:t>
      </w:r>
      <w:r w:rsidRPr="006D205F">
        <w:rPr>
          <w:rFonts w:cs="Times New Roman"/>
          <w:noProof/>
          <w:sz w:val="16"/>
          <w:szCs w:val="24"/>
        </w:rPr>
        <w:t xml:space="preserve"> https://arena.gov.au/projects/horizon-power-denham-hydrogen-demonstration/ (2020).</w:t>
      </w:r>
    </w:p>
    <w:p w14:paraId="597795F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77.</w:t>
      </w:r>
      <w:r w:rsidRPr="006D205F">
        <w:rPr>
          <w:rFonts w:cs="Times New Roman"/>
          <w:noProof/>
          <w:sz w:val="16"/>
          <w:szCs w:val="24"/>
        </w:rPr>
        <w:tab/>
        <w:t xml:space="preserve">Gascoyne Community Hydrogen Project Gets Off The Ground In Denham Australia. </w:t>
      </w:r>
      <w:r w:rsidRPr="006D205F">
        <w:rPr>
          <w:rFonts w:cs="Times New Roman"/>
          <w:i/>
          <w:iCs/>
          <w:noProof/>
          <w:sz w:val="16"/>
          <w:szCs w:val="24"/>
        </w:rPr>
        <w:t>Fuel Cells Works</w:t>
      </w:r>
      <w:r w:rsidRPr="006D205F">
        <w:rPr>
          <w:rFonts w:cs="Times New Roman"/>
          <w:noProof/>
          <w:sz w:val="16"/>
          <w:szCs w:val="24"/>
        </w:rPr>
        <w:t xml:space="preserve"> https://fuelcellsworks.com/news/gascoyne-community-hydrogen-project-gets-off-the-ground-in-denham-australia/ (2021).</w:t>
      </w:r>
    </w:p>
    <w:p w14:paraId="5BC0438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78.</w:t>
      </w:r>
      <w:r w:rsidRPr="006D205F">
        <w:rPr>
          <w:rFonts w:cs="Times New Roman"/>
          <w:noProof/>
          <w:sz w:val="16"/>
          <w:szCs w:val="24"/>
        </w:rPr>
        <w:tab/>
        <w:t xml:space="preserve">Yara &amp; Engie. </w:t>
      </w:r>
      <w:r w:rsidRPr="006D205F">
        <w:rPr>
          <w:rFonts w:cs="Times New Roman"/>
          <w:i/>
          <w:iCs/>
          <w:noProof/>
          <w:sz w:val="16"/>
          <w:szCs w:val="24"/>
        </w:rPr>
        <w:t>ENGIE-YARA Renewable Hydrogen and Ammonia Deployment in Pilbara YURI Phase 0: Feasibility Study Knowledge Sharing Report</w:t>
      </w:r>
      <w:r w:rsidRPr="006D205F">
        <w:rPr>
          <w:rFonts w:cs="Times New Roman"/>
          <w:noProof/>
          <w:sz w:val="16"/>
          <w:szCs w:val="24"/>
        </w:rPr>
        <w:t>. (2020).</w:t>
      </w:r>
    </w:p>
    <w:p w14:paraId="79EC3B81"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79.</w:t>
      </w:r>
      <w:r w:rsidRPr="006D205F">
        <w:rPr>
          <w:rFonts w:cs="Times New Roman"/>
          <w:noProof/>
          <w:sz w:val="16"/>
          <w:szCs w:val="24"/>
        </w:rPr>
        <w:tab/>
        <w:t xml:space="preserve">Mazengarb, M. Massive Asian Renewable Energy Hub grows to 26GW of wind and solar | . </w:t>
      </w:r>
      <w:r w:rsidRPr="006D205F">
        <w:rPr>
          <w:rFonts w:cs="Times New Roman"/>
          <w:i/>
          <w:iCs/>
          <w:noProof/>
          <w:sz w:val="16"/>
          <w:szCs w:val="24"/>
        </w:rPr>
        <w:t>RenewEconomy</w:t>
      </w:r>
      <w:r w:rsidRPr="006D205F">
        <w:rPr>
          <w:rFonts w:cs="Times New Roman"/>
          <w:noProof/>
          <w:sz w:val="16"/>
          <w:szCs w:val="24"/>
        </w:rPr>
        <w:t xml:space="preserve"> https://reneweconomy.com.au/massive-asian-renewable-energy-hub-grows-to-26gw-of-wind-and-solar-49343/.</w:t>
      </w:r>
    </w:p>
    <w:p w14:paraId="76B3C869"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80.</w:t>
      </w:r>
      <w:r w:rsidRPr="006D205F">
        <w:rPr>
          <w:rFonts w:cs="Times New Roman"/>
          <w:noProof/>
          <w:sz w:val="16"/>
          <w:szCs w:val="24"/>
        </w:rPr>
        <w:tab/>
        <w:t>Intercontinental Energy. Asian renewable energy hub . https://intercontinentalenergy.com/asian-renewable-energy-hub.</w:t>
      </w:r>
    </w:p>
    <w:p w14:paraId="6A1C4A6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81.</w:t>
      </w:r>
      <w:r w:rsidRPr="006D205F">
        <w:rPr>
          <w:rFonts w:cs="Times New Roman"/>
          <w:noProof/>
          <w:sz w:val="16"/>
          <w:szCs w:val="24"/>
        </w:rPr>
        <w:tab/>
        <w:t xml:space="preserve">CSIRO. Ord Hydrogen . </w:t>
      </w:r>
      <w:r w:rsidRPr="006D205F">
        <w:rPr>
          <w:rFonts w:cs="Times New Roman"/>
          <w:i/>
          <w:iCs/>
          <w:noProof/>
          <w:sz w:val="16"/>
          <w:szCs w:val="24"/>
        </w:rPr>
        <w:t>HyResource</w:t>
      </w:r>
      <w:r w:rsidRPr="006D205F">
        <w:rPr>
          <w:rFonts w:cs="Times New Roman"/>
          <w:noProof/>
          <w:sz w:val="16"/>
          <w:szCs w:val="24"/>
        </w:rPr>
        <w:t xml:space="preserve"> https://research.csiro.au/hyresource/ord-hydrogen/ (2020).</w:t>
      </w:r>
    </w:p>
    <w:p w14:paraId="5A5FE8D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82.</w:t>
      </w:r>
      <w:r w:rsidRPr="006D205F">
        <w:rPr>
          <w:rFonts w:cs="Times New Roman"/>
          <w:noProof/>
          <w:sz w:val="16"/>
          <w:szCs w:val="24"/>
        </w:rPr>
        <w:tab/>
        <w:t xml:space="preserve">Fernyhough, J. Northern Territory to trial hydrogen made with ‘water from air’ . </w:t>
      </w:r>
      <w:r w:rsidRPr="006D205F">
        <w:rPr>
          <w:rFonts w:cs="Times New Roman"/>
          <w:i/>
          <w:iCs/>
          <w:noProof/>
          <w:sz w:val="16"/>
          <w:szCs w:val="24"/>
        </w:rPr>
        <w:t>RenewEconomy</w:t>
      </w:r>
      <w:r w:rsidRPr="006D205F">
        <w:rPr>
          <w:rFonts w:cs="Times New Roman"/>
          <w:noProof/>
          <w:sz w:val="16"/>
          <w:szCs w:val="24"/>
        </w:rPr>
        <w:t xml:space="preserve"> https://reneweconomy.com.au/northern-territory-to-trial-hydrogen-made-with-water-from-air/ (2021).</w:t>
      </w:r>
    </w:p>
    <w:p w14:paraId="2C73CD7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83.</w:t>
      </w:r>
      <w:r w:rsidRPr="006D205F">
        <w:rPr>
          <w:rFonts w:cs="Times New Roman"/>
          <w:noProof/>
          <w:sz w:val="16"/>
          <w:szCs w:val="24"/>
        </w:rPr>
        <w:tab/>
        <w:t xml:space="preserve">NSW Government. First steps towards Port Kembla’s hydrogen hub. </w:t>
      </w:r>
      <w:r w:rsidRPr="006D205F">
        <w:rPr>
          <w:rFonts w:cs="Times New Roman"/>
          <w:i/>
          <w:iCs/>
          <w:noProof/>
          <w:sz w:val="16"/>
          <w:szCs w:val="24"/>
        </w:rPr>
        <w:t>Invest Regional</w:t>
      </w:r>
      <w:r w:rsidRPr="006D205F">
        <w:rPr>
          <w:rFonts w:cs="Times New Roman"/>
          <w:noProof/>
          <w:sz w:val="16"/>
          <w:szCs w:val="24"/>
        </w:rPr>
        <w:t xml:space="preserve"> https://www.investregional.nsw.gov.au/news/first-steps-towards-port-kemblas-hydrogen-hub/ (2021).</w:t>
      </w:r>
    </w:p>
    <w:p w14:paraId="719DBD12"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84.</w:t>
      </w:r>
      <w:r w:rsidRPr="006D205F">
        <w:rPr>
          <w:rFonts w:cs="Times New Roman"/>
          <w:noProof/>
          <w:sz w:val="16"/>
          <w:szCs w:val="24"/>
        </w:rPr>
        <w:tab/>
        <w:t xml:space="preserve">NSW Government. Hunter hydrogen hub announced. </w:t>
      </w:r>
      <w:r w:rsidRPr="006D205F">
        <w:rPr>
          <w:rFonts w:cs="Times New Roman"/>
          <w:i/>
          <w:iCs/>
          <w:noProof/>
          <w:sz w:val="16"/>
          <w:szCs w:val="24"/>
        </w:rPr>
        <w:t>Invest Regional</w:t>
      </w:r>
      <w:r w:rsidRPr="006D205F">
        <w:rPr>
          <w:rFonts w:cs="Times New Roman"/>
          <w:noProof/>
          <w:sz w:val="16"/>
          <w:szCs w:val="24"/>
        </w:rPr>
        <w:t xml:space="preserve"> https://www.investregional.nsw.gov.au/news/hunter-hydrogen-hub/ (2021).</w:t>
      </w:r>
    </w:p>
    <w:p w14:paraId="4B6B44E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85.</w:t>
      </w:r>
      <w:r w:rsidRPr="006D205F">
        <w:rPr>
          <w:rFonts w:cs="Times New Roman"/>
          <w:noProof/>
          <w:sz w:val="16"/>
          <w:szCs w:val="24"/>
        </w:rPr>
        <w:tab/>
        <w:t xml:space="preserve">Barnett, G. &amp; Ferguson, M. Renewable hydrogen set to take off in Tasmania - Premier of Tasmania. </w:t>
      </w:r>
      <w:r w:rsidRPr="006D205F">
        <w:rPr>
          <w:rFonts w:cs="Times New Roman"/>
          <w:i/>
          <w:iCs/>
          <w:noProof/>
          <w:sz w:val="16"/>
          <w:szCs w:val="24"/>
        </w:rPr>
        <w:t>Press Release</w:t>
      </w:r>
      <w:r w:rsidRPr="006D205F">
        <w:rPr>
          <w:rFonts w:cs="Times New Roman"/>
          <w:noProof/>
          <w:sz w:val="16"/>
          <w:szCs w:val="24"/>
        </w:rPr>
        <w:t xml:space="preserve"> http://www.premier.tas.gov.au/site_resources_2015/additional_releases/renewable_hydrogen_set_to_take_off_in_tasmania (2020).</w:t>
      </w:r>
    </w:p>
    <w:p w14:paraId="6D3EA149"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86.</w:t>
      </w:r>
      <w:r w:rsidRPr="006D205F">
        <w:rPr>
          <w:rFonts w:cs="Times New Roman"/>
          <w:noProof/>
          <w:sz w:val="16"/>
          <w:szCs w:val="24"/>
        </w:rPr>
        <w:tab/>
        <w:t xml:space="preserve">Howarth, C. Tasmanian Government to invest $50m in hydrogen power plan . </w:t>
      </w:r>
      <w:r w:rsidRPr="006D205F">
        <w:rPr>
          <w:rFonts w:cs="Times New Roman"/>
          <w:i/>
          <w:iCs/>
          <w:noProof/>
          <w:sz w:val="16"/>
          <w:szCs w:val="24"/>
        </w:rPr>
        <w:t>ABC News</w:t>
      </w:r>
      <w:r w:rsidRPr="006D205F">
        <w:rPr>
          <w:rFonts w:cs="Times New Roman"/>
          <w:noProof/>
          <w:sz w:val="16"/>
          <w:szCs w:val="24"/>
        </w:rPr>
        <w:t xml:space="preserve"> https://www.abc.net.au/news/2020-03-02/hydrogen-energy-tasmania-government-to-invest-millions/12015654 (2020).</w:t>
      </w:r>
    </w:p>
    <w:p w14:paraId="16BE722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87.</w:t>
      </w:r>
      <w:r w:rsidRPr="006D205F">
        <w:rPr>
          <w:rFonts w:cs="Times New Roman"/>
          <w:noProof/>
          <w:sz w:val="16"/>
          <w:szCs w:val="24"/>
        </w:rPr>
        <w:tab/>
        <w:t xml:space="preserve">Scott Morrison reveals $1bn energy deal with South Australian government. </w:t>
      </w:r>
      <w:r w:rsidRPr="006D205F">
        <w:rPr>
          <w:rFonts w:cs="Times New Roman"/>
          <w:i/>
          <w:iCs/>
          <w:noProof/>
          <w:sz w:val="16"/>
          <w:szCs w:val="24"/>
        </w:rPr>
        <w:t>ABC News</w:t>
      </w:r>
      <w:r w:rsidRPr="006D205F">
        <w:rPr>
          <w:rFonts w:cs="Times New Roman"/>
          <w:noProof/>
          <w:sz w:val="16"/>
          <w:szCs w:val="24"/>
        </w:rPr>
        <w:t xml:space="preserve"> https://www.abc.net.au/news/2021-04-18/energy-and-emissions-reduction-deal-south-australia/100077114 (2021).</w:t>
      </w:r>
    </w:p>
    <w:p w14:paraId="232DBC6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88.</w:t>
      </w:r>
      <w:r w:rsidRPr="006D205F">
        <w:rPr>
          <w:rFonts w:cs="Times New Roman"/>
          <w:noProof/>
          <w:sz w:val="16"/>
          <w:szCs w:val="24"/>
        </w:rPr>
        <w:tab/>
        <w:t xml:space="preserve">Heynes, G. Morrison’s $1bn energy deal with South Australia includes funding for ‘priority’ areas such as hydrogen. </w:t>
      </w:r>
      <w:r w:rsidRPr="006D205F">
        <w:rPr>
          <w:rFonts w:cs="Times New Roman"/>
          <w:i/>
          <w:iCs/>
          <w:noProof/>
          <w:sz w:val="16"/>
          <w:szCs w:val="24"/>
        </w:rPr>
        <w:t>H2View</w:t>
      </w:r>
      <w:r w:rsidRPr="006D205F">
        <w:rPr>
          <w:rFonts w:cs="Times New Roman"/>
          <w:noProof/>
          <w:sz w:val="16"/>
          <w:szCs w:val="24"/>
        </w:rPr>
        <w:t xml:space="preserve"> https://www.h2-view.com/story/morrisons-1bn-energy-deal-with-south-australia-includes-funding-for-priority-areas-such-as-hydrogen/ (2021).</w:t>
      </w:r>
    </w:p>
    <w:p w14:paraId="2CA16F6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89.</w:t>
      </w:r>
      <w:r w:rsidRPr="006D205F">
        <w:rPr>
          <w:rFonts w:cs="Times New Roman"/>
          <w:noProof/>
          <w:sz w:val="16"/>
          <w:szCs w:val="24"/>
        </w:rPr>
        <w:tab/>
        <w:t xml:space="preserve">Cape Hardy poised for major role in South Australia’s hydrogen future . </w:t>
      </w:r>
      <w:r w:rsidRPr="006D205F">
        <w:rPr>
          <w:rFonts w:cs="Times New Roman"/>
          <w:i/>
          <w:iCs/>
          <w:noProof/>
          <w:sz w:val="16"/>
          <w:szCs w:val="24"/>
        </w:rPr>
        <w:t>NS Energy</w:t>
      </w:r>
      <w:r w:rsidRPr="006D205F">
        <w:rPr>
          <w:rFonts w:cs="Times New Roman"/>
          <w:noProof/>
          <w:sz w:val="16"/>
          <w:szCs w:val="24"/>
        </w:rPr>
        <w:t xml:space="preserve"> https://www.nsenergybusiness.com/news/cape-hardy-poised-for-major-role-in-south-australias-hydrogen-future/ (2020).</w:t>
      </w:r>
    </w:p>
    <w:p w14:paraId="483C37F5"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90.</w:t>
      </w:r>
      <w:r w:rsidRPr="006D205F">
        <w:rPr>
          <w:rFonts w:cs="Times New Roman"/>
          <w:noProof/>
          <w:sz w:val="16"/>
          <w:szCs w:val="24"/>
        </w:rPr>
        <w:tab/>
        <w:t xml:space="preserve">Port of Rotterdam. Feasibility study on export of South Australian green hydrogen to Rotterdam . </w:t>
      </w:r>
      <w:r w:rsidRPr="006D205F">
        <w:rPr>
          <w:rFonts w:cs="Times New Roman"/>
          <w:i/>
          <w:iCs/>
          <w:noProof/>
          <w:sz w:val="16"/>
          <w:szCs w:val="24"/>
        </w:rPr>
        <w:t>News and Press Releases</w:t>
      </w:r>
      <w:r w:rsidRPr="006D205F">
        <w:rPr>
          <w:rFonts w:cs="Times New Roman"/>
          <w:noProof/>
          <w:sz w:val="16"/>
          <w:szCs w:val="24"/>
        </w:rPr>
        <w:t xml:space="preserve"> https://www.portofrotterdam.com/en/news-and-press-releases/feasibility-study-export-south-australian-green-hydrogen-rotterdam (2021).</w:t>
      </w:r>
    </w:p>
    <w:p w14:paraId="493B94E9"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91.</w:t>
      </w:r>
      <w:r w:rsidRPr="006D205F">
        <w:rPr>
          <w:rFonts w:cs="Times New Roman"/>
          <w:noProof/>
          <w:sz w:val="16"/>
          <w:szCs w:val="24"/>
        </w:rPr>
        <w:tab/>
        <w:t>Australian Hydrogen Technology Clusters</w:t>
      </w:r>
      <w:r w:rsidRPr="006D205F">
        <w:rPr>
          <w:rFonts w:ascii="Times New Roman" w:hAnsi="Times New Roman" w:cs="Times New Roman"/>
          <w:noProof/>
          <w:sz w:val="16"/>
          <w:szCs w:val="24"/>
        </w:rPr>
        <w:t> </w:t>
      </w:r>
      <w:r w:rsidRPr="006D205F">
        <w:rPr>
          <w:rFonts w:cs="Times New Roman"/>
          <w:noProof/>
          <w:sz w:val="16"/>
          <w:szCs w:val="24"/>
        </w:rPr>
        <w:t>: NERA National Energy Resources Australia. https://www.nera.org.au/regional-hydrogen-technology-clusters.</w:t>
      </w:r>
    </w:p>
    <w:p w14:paraId="0DCC7F7F"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92.</w:t>
      </w:r>
      <w:r w:rsidRPr="006D205F">
        <w:rPr>
          <w:rFonts w:cs="Times New Roman"/>
          <w:noProof/>
          <w:sz w:val="16"/>
          <w:szCs w:val="24"/>
        </w:rPr>
        <w:tab/>
        <w:t xml:space="preserve">Peacock, B. Federal government commits a further $275m to regional hydrogen hubs while devoting similar sum to controversial technology . </w:t>
      </w:r>
      <w:r w:rsidRPr="006D205F">
        <w:rPr>
          <w:rFonts w:cs="Times New Roman"/>
          <w:i/>
          <w:iCs/>
          <w:noProof/>
          <w:sz w:val="16"/>
          <w:szCs w:val="24"/>
        </w:rPr>
        <w:t>PV Magazine Australia</w:t>
      </w:r>
      <w:r w:rsidRPr="006D205F">
        <w:rPr>
          <w:rFonts w:cs="Times New Roman"/>
          <w:noProof/>
          <w:sz w:val="16"/>
          <w:szCs w:val="24"/>
        </w:rPr>
        <w:t xml:space="preserve"> https://www.pv-magazine-australia.com/2021/04/21/federal-government-commits-a-further-275m-to-regional-hydrogen-hubs-while-devoting-similar-sum-to-controversial-technology/ (2021).</w:t>
      </w:r>
    </w:p>
    <w:p w14:paraId="7943DE3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93.</w:t>
      </w:r>
      <w:r w:rsidRPr="006D205F">
        <w:rPr>
          <w:rFonts w:cs="Times New Roman"/>
          <w:noProof/>
          <w:sz w:val="16"/>
          <w:szCs w:val="24"/>
        </w:rPr>
        <w:tab/>
        <w:t xml:space="preserve">Niermann, M., Drünert, S., Kaltschmitt, M. &amp; Bonhoff, K. Liquid organic hydrogen carriers (LOHCs)-techno-economic analysis of LOHCs in a defined process chain. </w:t>
      </w:r>
      <w:r w:rsidRPr="006D205F">
        <w:rPr>
          <w:rFonts w:cs="Times New Roman"/>
          <w:i/>
          <w:iCs/>
          <w:noProof/>
          <w:sz w:val="16"/>
          <w:szCs w:val="24"/>
        </w:rPr>
        <w:t>Energy Environ. Sci.</w:t>
      </w:r>
      <w:r w:rsidRPr="006D205F">
        <w:rPr>
          <w:rFonts w:cs="Times New Roman"/>
          <w:noProof/>
          <w:sz w:val="16"/>
          <w:szCs w:val="24"/>
        </w:rPr>
        <w:t xml:space="preserve"> </w:t>
      </w:r>
      <w:r w:rsidRPr="006D205F">
        <w:rPr>
          <w:rFonts w:cs="Times New Roman"/>
          <w:b/>
          <w:bCs/>
          <w:noProof/>
          <w:sz w:val="16"/>
          <w:szCs w:val="24"/>
        </w:rPr>
        <w:t>12</w:t>
      </w:r>
      <w:r w:rsidRPr="006D205F">
        <w:rPr>
          <w:rFonts w:cs="Times New Roman"/>
          <w:noProof/>
          <w:sz w:val="16"/>
          <w:szCs w:val="24"/>
        </w:rPr>
        <w:t>, 290–307 (2019).</w:t>
      </w:r>
    </w:p>
    <w:p w14:paraId="3BB19F5B"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94.</w:t>
      </w:r>
      <w:r w:rsidRPr="006D205F">
        <w:rPr>
          <w:rFonts w:cs="Times New Roman"/>
          <w:noProof/>
          <w:sz w:val="16"/>
          <w:szCs w:val="24"/>
        </w:rPr>
        <w:tab/>
        <w:t xml:space="preserve">Jarvis, S. M. &amp; Samsatli, S. Technologies and infrastructures underpinning future CO2 value chains: A comprehensive review and comparative analysis. </w:t>
      </w:r>
      <w:r w:rsidRPr="006D205F">
        <w:rPr>
          <w:rFonts w:cs="Times New Roman"/>
          <w:i/>
          <w:iCs/>
          <w:noProof/>
          <w:sz w:val="16"/>
          <w:szCs w:val="24"/>
        </w:rPr>
        <w:t>Renew. Sustain. Energy Rev.</w:t>
      </w:r>
      <w:r w:rsidRPr="006D205F">
        <w:rPr>
          <w:rFonts w:cs="Times New Roman"/>
          <w:noProof/>
          <w:sz w:val="16"/>
          <w:szCs w:val="24"/>
        </w:rPr>
        <w:t xml:space="preserve"> </w:t>
      </w:r>
      <w:r w:rsidRPr="006D205F">
        <w:rPr>
          <w:rFonts w:cs="Times New Roman"/>
          <w:b/>
          <w:bCs/>
          <w:noProof/>
          <w:sz w:val="16"/>
          <w:szCs w:val="24"/>
        </w:rPr>
        <w:t>85</w:t>
      </w:r>
      <w:r w:rsidRPr="006D205F">
        <w:rPr>
          <w:rFonts w:cs="Times New Roman"/>
          <w:noProof/>
          <w:sz w:val="16"/>
          <w:szCs w:val="24"/>
        </w:rPr>
        <w:t>, 46–68 (2018).</w:t>
      </w:r>
    </w:p>
    <w:p w14:paraId="283B2DC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95.</w:t>
      </w:r>
      <w:r w:rsidRPr="006D205F">
        <w:rPr>
          <w:rFonts w:cs="Times New Roman"/>
          <w:noProof/>
          <w:sz w:val="16"/>
          <w:szCs w:val="24"/>
        </w:rPr>
        <w:tab/>
        <w:t xml:space="preserve">Bruce S </w:t>
      </w:r>
      <w:r w:rsidRPr="006D205F">
        <w:rPr>
          <w:rFonts w:cs="Times New Roman"/>
          <w:i/>
          <w:iCs/>
          <w:noProof/>
          <w:sz w:val="16"/>
          <w:szCs w:val="24"/>
        </w:rPr>
        <w:t>et al.</w:t>
      </w:r>
      <w:r w:rsidRPr="006D205F">
        <w:rPr>
          <w:rFonts w:cs="Times New Roman"/>
          <w:noProof/>
          <w:sz w:val="16"/>
          <w:szCs w:val="24"/>
        </w:rPr>
        <w:t xml:space="preserve"> Pathways to an economically sustainable hydrogen industry in Australia National Hydrogen Roadmap. (2019).</w:t>
      </w:r>
    </w:p>
    <w:p w14:paraId="01578B87"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96.</w:t>
      </w:r>
      <w:r w:rsidRPr="006D205F">
        <w:rPr>
          <w:rFonts w:cs="Times New Roman"/>
          <w:noProof/>
          <w:sz w:val="16"/>
          <w:szCs w:val="24"/>
        </w:rPr>
        <w:tab/>
        <w:t xml:space="preserve">Ishimoto, Y. </w:t>
      </w:r>
      <w:r w:rsidRPr="006D205F">
        <w:rPr>
          <w:rFonts w:cs="Times New Roman"/>
          <w:i/>
          <w:iCs/>
          <w:noProof/>
          <w:sz w:val="16"/>
          <w:szCs w:val="24"/>
        </w:rPr>
        <w:t>et al.</w:t>
      </w:r>
      <w:r w:rsidRPr="006D205F">
        <w:rPr>
          <w:rFonts w:cs="Times New Roman"/>
          <w:noProof/>
          <w:sz w:val="16"/>
          <w:szCs w:val="24"/>
        </w:rPr>
        <w:t xml:space="preserve"> Large-scale production and transport of hydrogen from Norway to Europe and Japan: Value chain analysis and comparison of liquid hydrogen and ammonia as energy carriers. </w:t>
      </w:r>
      <w:r w:rsidRPr="006D205F">
        <w:rPr>
          <w:rFonts w:cs="Times New Roman"/>
          <w:i/>
          <w:iCs/>
          <w:noProof/>
          <w:sz w:val="16"/>
          <w:szCs w:val="24"/>
        </w:rPr>
        <w:t>Int. J. Hydrogen Energy</w:t>
      </w:r>
      <w:r w:rsidRPr="006D205F">
        <w:rPr>
          <w:rFonts w:cs="Times New Roman"/>
          <w:noProof/>
          <w:sz w:val="16"/>
          <w:szCs w:val="24"/>
        </w:rPr>
        <w:t xml:space="preserve"> </w:t>
      </w:r>
      <w:r w:rsidRPr="006D205F">
        <w:rPr>
          <w:rFonts w:cs="Times New Roman"/>
          <w:b/>
          <w:bCs/>
          <w:noProof/>
          <w:sz w:val="16"/>
          <w:szCs w:val="24"/>
        </w:rPr>
        <w:t>45</w:t>
      </w:r>
      <w:r w:rsidRPr="006D205F">
        <w:rPr>
          <w:rFonts w:cs="Times New Roman"/>
          <w:noProof/>
          <w:sz w:val="16"/>
          <w:szCs w:val="24"/>
        </w:rPr>
        <w:t>, 32865–32883 (2020).</w:t>
      </w:r>
    </w:p>
    <w:p w14:paraId="16906CE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97.</w:t>
      </w:r>
      <w:r w:rsidRPr="006D205F">
        <w:rPr>
          <w:rFonts w:cs="Times New Roman"/>
          <w:noProof/>
          <w:sz w:val="16"/>
          <w:szCs w:val="24"/>
        </w:rPr>
        <w:tab/>
        <w:t xml:space="preserve">Al-Breiki, M. &amp; Bicer, Y. Comparative cost assessment of sustainable energy carriers produced from natural gas accounting for boil-off gas and social cost of carbon. </w:t>
      </w:r>
      <w:r w:rsidRPr="006D205F">
        <w:rPr>
          <w:rFonts w:cs="Times New Roman"/>
          <w:i/>
          <w:iCs/>
          <w:noProof/>
          <w:sz w:val="16"/>
          <w:szCs w:val="24"/>
        </w:rPr>
        <w:t>Energy Reports</w:t>
      </w:r>
      <w:r w:rsidRPr="006D205F">
        <w:rPr>
          <w:rFonts w:cs="Times New Roman"/>
          <w:noProof/>
          <w:sz w:val="16"/>
          <w:szCs w:val="24"/>
        </w:rPr>
        <w:t xml:space="preserve"> </w:t>
      </w:r>
      <w:r w:rsidRPr="006D205F">
        <w:rPr>
          <w:rFonts w:cs="Times New Roman"/>
          <w:b/>
          <w:bCs/>
          <w:noProof/>
          <w:sz w:val="16"/>
          <w:szCs w:val="24"/>
        </w:rPr>
        <w:t>6</w:t>
      </w:r>
      <w:r w:rsidRPr="006D205F">
        <w:rPr>
          <w:rFonts w:cs="Times New Roman"/>
          <w:noProof/>
          <w:sz w:val="16"/>
          <w:szCs w:val="24"/>
        </w:rPr>
        <w:t>, 1897–1909 (2020).</w:t>
      </w:r>
    </w:p>
    <w:p w14:paraId="3DAF5A06"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98.</w:t>
      </w:r>
      <w:r w:rsidRPr="006D205F">
        <w:rPr>
          <w:rFonts w:cs="Times New Roman"/>
          <w:noProof/>
          <w:sz w:val="16"/>
          <w:szCs w:val="24"/>
        </w:rPr>
        <w:tab/>
        <w:t xml:space="preserve">Al-Breiki, M. &amp; Bicer, Y. Investigating the technical feasibility of various energy carriers for alternative and sustainable overseas energy transport scenarios. </w:t>
      </w:r>
      <w:r w:rsidRPr="006D205F">
        <w:rPr>
          <w:rFonts w:cs="Times New Roman"/>
          <w:i/>
          <w:iCs/>
          <w:noProof/>
          <w:sz w:val="16"/>
          <w:szCs w:val="24"/>
        </w:rPr>
        <w:t>Energy Convers. Manag.</w:t>
      </w:r>
      <w:r w:rsidRPr="006D205F">
        <w:rPr>
          <w:rFonts w:cs="Times New Roman"/>
          <w:noProof/>
          <w:sz w:val="16"/>
          <w:szCs w:val="24"/>
        </w:rPr>
        <w:t xml:space="preserve"> </w:t>
      </w:r>
      <w:r w:rsidRPr="006D205F">
        <w:rPr>
          <w:rFonts w:cs="Times New Roman"/>
          <w:b/>
          <w:bCs/>
          <w:noProof/>
          <w:sz w:val="16"/>
          <w:szCs w:val="24"/>
        </w:rPr>
        <w:t>209</w:t>
      </w:r>
      <w:r w:rsidRPr="006D205F">
        <w:rPr>
          <w:rFonts w:cs="Times New Roman"/>
          <w:noProof/>
          <w:sz w:val="16"/>
          <w:szCs w:val="24"/>
        </w:rPr>
        <w:t>, (2020).</w:t>
      </w:r>
    </w:p>
    <w:p w14:paraId="0B1D77A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99.</w:t>
      </w:r>
      <w:r w:rsidRPr="006D205F">
        <w:rPr>
          <w:rFonts w:cs="Times New Roman"/>
          <w:noProof/>
          <w:sz w:val="16"/>
          <w:szCs w:val="24"/>
        </w:rPr>
        <w:tab/>
        <w:t xml:space="preserve">Zhang, H., Wang, L., Van herle, J., Maréchal, F. &amp; Desideri, U. Techno-economic comparison of green ammonia production processes. </w:t>
      </w:r>
      <w:r w:rsidRPr="006D205F">
        <w:rPr>
          <w:rFonts w:cs="Times New Roman"/>
          <w:i/>
          <w:iCs/>
          <w:noProof/>
          <w:sz w:val="16"/>
          <w:szCs w:val="24"/>
        </w:rPr>
        <w:t>Appl. Energy</w:t>
      </w:r>
      <w:r w:rsidRPr="006D205F">
        <w:rPr>
          <w:rFonts w:cs="Times New Roman"/>
          <w:noProof/>
          <w:sz w:val="16"/>
          <w:szCs w:val="24"/>
        </w:rPr>
        <w:t xml:space="preserve"> </w:t>
      </w:r>
      <w:r w:rsidRPr="006D205F">
        <w:rPr>
          <w:rFonts w:cs="Times New Roman"/>
          <w:b/>
          <w:bCs/>
          <w:noProof/>
          <w:sz w:val="16"/>
          <w:szCs w:val="24"/>
        </w:rPr>
        <w:t>259</w:t>
      </w:r>
      <w:r w:rsidRPr="006D205F">
        <w:rPr>
          <w:rFonts w:cs="Times New Roman"/>
          <w:noProof/>
          <w:sz w:val="16"/>
          <w:szCs w:val="24"/>
        </w:rPr>
        <w:t>, (2020).</w:t>
      </w:r>
    </w:p>
    <w:p w14:paraId="048501C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100.</w:t>
      </w:r>
      <w:r w:rsidRPr="006D205F">
        <w:rPr>
          <w:rFonts w:cs="Times New Roman"/>
          <w:noProof/>
          <w:sz w:val="16"/>
          <w:szCs w:val="24"/>
        </w:rPr>
        <w:tab/>
        <w:t xml:space="preserve">Office of Energy Efficiency &amp; Renewable Energy. Hydrogen Storage . </w:t>
      </w:r>
      <w:r w:rsidRPr="006D205F">
        <w:rPr>
          <w:rFonts w:cs="Times New Roman"/>
          <w:i/>
          <w:iCs/>
          <w:noProof/>
          <w:sz w:val="16"/>
          <w:szCs w:val="24"/>
        </w:rPr>
        <w:t>Hydrogen and Fuel Cell Technologies Office</w:t>
      </w:r>
      <w:r w:rsidRPr="006D205F">
        <w:rPr>
          <w:rFonts w:cs="Times New Roman"/>
          <w:noProof/>
          <w:sz w:val="16"/>
          <w:szCs w:val="24"/>
        </w:rPr>
        <w:t xml:space="preserve"> https://www.energy.gov/eere/fuelcells/hydrogen-storage.</w:t>
      </w:r>
    </w:p>
    <w:p w14:paraId="7DA16E7A"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101.</w:t>
      </w:r>
      <w:r w:rsidRPr="006D205F">
        <w:rPr>
          <w:rFonts w:cs="Times New Roman"/>
          <w:noProof/>
          <w:sz w:val="16"/>
          <w:szCs w:val="24"/>
        </w:rPr>
        <w:tab/>
        <w:t xml:space="preserve">Salomone, F. </w:t>
      </w:r>
      <w:r w:rsidRPr="006D205F">
        <w:rPr>
          <w:rFonts w:cs="Times New Roman"/>
          <w:i/>
          <w:iCs/>
          <w:noProof/>
          <w:sz w:val="16"/>
          <w:szCs w:val="24"/>
        </w:rPr>
        <w:t>et al.</w:t>
      </w:r>
      <w:r w:rsidRPr="006D205F">
        <w:rPr>
          <w:rFonts w:cs="Times New Roman"/>
          <w:noProof/>
          <w:sz w:val="16"/>
          <w:szCs w:val="24"/>
        </w:rPr>
        <w:t xml:space="preserve"> Techno-economic modelling of a Power-to-Gas system based on SOEC electrolysis and CO2 methanation in a RES-based electric grid. </w:t>
      </w:r>
      <w:r w:rsidRPr="006D205F">
        <w:rPr>
          <w:rFonts w:cs="Times New Roman"/>
          <w:i/>
          <w:iCs/>
          <w:noProof/>
          <w:sz w:val="16"/>
          <w:szCs w:val="24"/>
        </w:rPr>
        <w:t>Chem. Eng. J.</w:t>
      </w:r>
      <w:r w:rsidRPr="006D205F">
        <w:rPr>
          <w:rFonts w:cs="Times New Roman"/>
          <w:noProof/>
          <w:sz w:val="16"/>
          <w:szCs w:val="24"/>
        </w:rPr>
        <w:t xml:space="preserve"> </w:t>
      </w:r>
      <w:r w:rsidRPr="006D205F">
        <w:rPr>
          <w:rFonts w:cs="Times New Roman"/>
          <w:b/>
          <w:bCs/>
          <w:noProof/>
          <w:sz w:val="16"/>
          <w:szCs w:val="24"/>
        </w:rPr>
        <w:t>377</w:t>
      </w:r>
      <w:r w:rsidRPr="006D205F">
        <w:rPr>
          <w:rFonts w:cs="Times New Roman"/>
          <w:noProof/>
          <w:sz w:val="16"/>
          <w:szCs w:val="24"/>
        </w:rPr>
        <w:t>, 120233 (2019).</w:t>
      </w:r>
    </w:p>
    <w:p w14:paraId="351839F4"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102.</w:t>
      </w:r>
      <w:r w:rsidRPr="006D205F">
        <w:rPr>
          <w:rFonts w:cs="Times New Roman"/>
          <w:noProof/>
          <w:sz w:val="16"/>
          <w:szCs w:val="24"/>
        </w:rPr>
        <w:tab/>
        <w:t xml:space="preserve">Keipi, T., Tolvanen, H. &amp; Konttinen, J. Economic analysis of hydrogen production by methane thermal decomposition: Comparison to competing technologies. </w:t>
      </w:r>
      <w:r w:rsidRPr="006D205F">
        <w:rPr>
          <w:rFonts w:cs="Times New Roman"/>
          <w:i/>
          <w:iCs/>
          <w:noProof/>
          <w:sz w:val="16"/>
          <w:szCs w:val="24"/>
        </w:rPr>
        <w:t>Energy Convers. Manag.</w:t>
      </w:r>
      <w:r w:rsidRPr="006D205F">
        <w:rPr>
          <w:rFonts w:cs="Times New Roman"/>
          <w:noProof/>
          <w:sz w:val="16"/>
          <w:szCs w:val="24"/>
        </w:rPr>
        <w:t xml:space="preserve"> </w:t>
      </w:r>
      <w:r w:rsidRPr="006D205F">
        <w:rPr>
          <w:rFonts w:cs="Times New Roman"/>
          <w:b/>
          <w:bCs/>
          <w:noProof/>
          <w:sz w:val="16"/>
          <w:szCs w:val="24"/>
        </w:rPr>
        <w:t>159</w:t>
      </w:r>
      <w:r w:rsidRPr="006D205F">
        <w:rPr>
          <w:rFonts w:cs="Times New Roman"/>
          <w:noProof/>
          <w:sz w:val="16"/>
          <w:szCs w:val="24"/>
        </w:rPr>
        <w:t>, 264–273 (2018).</w:t>
      </w:r>
    </w:p>
    <w:p w14:paraId="7D741463"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103.</w:t>
      </w:r>
      <w:r w:rsidRPr="006D205F">
        <w:rPr>
          <w:rFonts w:cs="Times New Roman"/>
          <w:noProof/>
          <w:sz w:val="16"/>
          <w:szCs w:val="24"/>
        </w:rPr>
        <w:tab/>
        <w:t xml:space="preserve">Hasan, M. M. F., Zheng, A. M. &amp; Karimi, I. A. Minimizing boil-off losses in liquefied natural gas transportation. </w:t>
      </w:r>
      <w:r w:rsidRPr="006D205F">
        <w:rPr>
          <w:rFonts w:cs="Times New Roman"/>
          <w:i/>
          <w:iCs/>
          <w:noProof/>
          <w:sz w:val="16"/>
          <w:szCs w:val="24"/>
        </w:rPr>
        <w:t>Ind. Eng. Chem. Res.</w:t>
      </w:r>
      <w:r w:rsidRPr="006D205F">
        <w:rPr>
          <w:rFonts w:cs="Times New Roman"/>
          <w:noProof/>
          <w:sz w:val="16"/>
          <w:szCs w:val="24"/>
        </w:rPr>
        <w:t xml:space="preserve"> </w:t>
      </w:r>
      <w:r w:rsidRPr="006D205F">
        <w:rPr>
          <w:rFonts w:cs="Times New Roman"/>
          <w:b/>
          <w:bCs/>
          <w:noProof/>
          <w:sz w:val="16"/>
          <w:szCs w:val="24"/>
        </w:rPr>
        <w:t>48</w:t>
      </w:r>
      <w:r w:rsidRPr="006D205F">
        <w:rPr>
          <w:rFonts w:cs="Times New Roman"/>
          <w:noProof/>
          <w:sz w:val="16"/>
          <w:szCs w:val="24"/>
        </w:rPr>
        <w:t>, 9571–9580 (2009).</w:t>
      </w:r>
    </w:p>
    <w:p w14:paraId="693F167E"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104.</w:t>
      </w:r>
      <w:r w:rsidRPr="006D205F">
        <w:rPr>
          <w:rFonts w:cs="Times New Roman"/>
          <w:noProof/>
          <w:sz w:val="16"/>
          <w:szCs w:val="24"/>
        </w:rPr>
        <w:tab/>
        <w:t>Bellotti, D., Rivarolo, M., Magistri, L. &amp; Massardo, A. F. Feasibility study of methanol production plant from hydrogen and captured carbon dioxide. (2017) doi:10.1016/j.jcou.2017.07.001.</w:t>
      </w:r>
    </w:p>
    <w:p w14:paraId="344EDBC8"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105.</w:t>
      </w:r>
      <w:r w:rsidRPr="006D205F">
        <w:rPr>
          <w:rFonts w:cs="Times New Roman"/>
          <w:noProof/>
          <w:sz w:val="16"/>
          <w:szCs w:val="24"/>
        </w:rPr>
        <w:tab/>
        <w:t xml:space="preserve">Elsernagawy, O. Y. H. </w:t>
      </w:r>
      <w:r w:rsidRPr="006D205F">
        <w:rPr>
          <w:rFonts w:cs="Times New Roman"/>
          <w:i/>
          <w:iCs/>
          <w:noProof/>
          <w:sz w:val="16"/>
          <w:szCs w:val="24"/>
        </w:rPr>
        <w:t>et al.</w:t>
      </w:r>
      <w:r w:rsidRPr="006D205F">
        <w:rPr>
          <w:rFonts w:cs="Times New Roman"/>
          <w:noProof/>
          <w:sz w:val="16"/>
          <w:szCs w:val="24"/>
        </w:rPr>
        <w:t xml:space="preserve"> Thermo-economic analysis of reverse water-gas shift process with different temperatures for green methanol production as a hydrogen carrier. </w:t>
      </w:r>
      <w:r w:rsidRPr="006D205F">
        <w:rPr>
          <w:rFonts w:cs="Times New Roman"/>
          <w:i/>
          <w:iCs/>
          <w:noProof/>
          <w:sz w:val="16"/>
          <w:szCs w:val="24"/>
        </w:rPr>
        <w:t>J. CO2 Util.</w:t>
      </w:r>
      <w:r w:rsidRPr="006D205F">
        <w:rPr>
          <w:rFonts w:cs="Times New Roman"/>
          <w:noProof/>
          <w:sz w:val="16"/>
          <w:szCs w:val="24"/>
        </w:rPr>
        <w:t xml:space="preserve"> </w:t>
      </w:r>
      <w:r w:rsidRPr="006D205F">
        <w:rPr>
          <w:rFonts w:cs="Times New Roman"/>
          <w:b/>
          <w:bCs/>
          <w:noProof/>
          <w:sz w:val="16"/>
          <w:szCs w:val="24"/>
        </w:rPr>
        <w:t>41</w:t>
      </w:r>
      <w:r w:rsidRPr="006D205F">
        <w:rPr>
          <w:rFonts w:cs="Times New Roman"/>
          <w:noProof/>
          <w:sz w:val="16"/>
          <w:szCs w:val="24"/>
        </w:rPr>
        <w:t>, (2020).</w:t>
      </w:r>
    </w:p>
    <w:p w14:paraId="505252BC" w14:textId="77777777" w:rsidR="006D205F" w:rsidRPr="006D205F" w:rsidRDefault="006D205F" w:rsidP="006D205F">
      <w:pPr>
        <w:widowControl w:val="0"/>
        <w:autoSpaceDE w:val="0"/>
        <w:autoSpaceDN w:val="0"/>
        <w:adjustRightInd w:val="0"/>
        <w:spacing w:after="0" w:line="240" w:lineRule="auto"/>
        <w:ind w:left="426" w:hanging="426"/>
        <w:rPr>
          <w:rFonts w:cs="Times New Roman"/>
          <w:noProof/>
          <w:sz w:val="16"/>
          <w:szCs w:val="24"/>
        </w:rPr>
      </w:pPr>
      <w:r w:rsidRPr="006D205F">
        <w:rPr>
          <w:rFonts w:cs="Times New Roman"/>
          <w:noProof/>
          <w:sz w:val="16"/>
          <w:szCs w:val="24"/>
        </w:rPr>
        <w:t>106.</w:t>
      </w:r>
      <w:r w:rsidRPr="006D205F">
        <w:rPr>
          <w:rFonts w:cs="Times New Roman"/>
          <w:noProof/>
          <w:sz w:val="16"/>
          <w:szCs w:val="24"/>
        </w:rPr>
        <w:tab/>
        <w:t xml:space="preserve">Brigljević, B., Byun, M. &amp; Lim, H. Design, economic evaluation, and market uncertainty analysis of LOHC-based, CO2 free, hydrogen delivery systems. </w:t>
      </w:r>
      <w:r w:rsidRPr="006D205F">
        <w:rPr>
          <w:rFonts w:cs="Times New Roman"/>
          <w:i/>
          <w:iCs/>
          <w:noProof/>
          <w:sz w:val="16"/>
          <w:szCs w:val="24"/>
        </w:rPr>
        <w:t>Appl. Energy</w:t>
      </w:r>
      <w:r w:rsidRPr="006D205F">
        <w:rPr>
          <w:rFonts w:cs="Times New Roman"/>
          <w:noProof/>
          <w:sz w:val="16"/>
          <w:szCs w:val="24"/>
        </w:rPr>
        <w:t xml:space="preserve"> </w:t>
      </w:r>
      <w:r w:rsidRPr="006D205F">
        <w:rPr>
          <w:rFonts w:cs="Times New Roman"/>
          <w:b/>
          <w:bCs/>
          <w:noProof/>
          <w:sz w:val="16"/>
          <w:szCs w:val="24"/>
        </w:rPr>
        <w:t>274</w:t>
      </w:r>
      <w:r w:rsidRPr="006D205F">
        <w:rPr>
          <w:rFonts w:cs="Times New Roman"/>
          <w:noProof/>
          <w:sz w:val="16"/>
          <w:szCs w:val="24"/>
        </w:rPr>
        <w:t>, (2020).</w:t>
      </w:r>
    </w:p>
    <w:p w14:paraId="013CD04A" w14:textId="77777777" w:rsidR="006D205F" w:rsidRPr="006D205F" w:rsidRDefault="006D205F" w:rsidP="006D205F">
      <w:pPr>
        <w:widowControl w:val="0"/>
        <w:autoSpaceDE w:val="0"/>
        <w:autoSpaceDN w:val="0"/>
        <w:adjustRightInd w:val="0"/>
        <w:spacing w:after="0" w:line="240" w:lineRule="auto"/>
        <w:ind w:left="426" w:hanging="426"/>
        <w:rPr>
          <w:noProof/>
          <w:sz w:val="16"/>
        </w:rPr>
      </w:pPr>
      <w:r w:rsidRPr="006D205F">
        <w:rPr>
          <w:rFonts w:cs="Times New Roman"/>
          <w:noProof/>
          <w:sz w:val="16"/>
          <w:szCs w:val="24"/>
        </w:rPr>
        <w:t>107.</w:t>
      </w:r>
      <w:r w:rsidRPr="006D205F">
        <w:rPr>
          <w:rFonts w:cs="Times New Roman"/>
          <w:noProof/>
          <w:sz w:val="16"/>
          <w:szCs w:val="24"/>
        </w:rPr>
        <w:tab/>
        <w:t xml:space="preserve">Combustion of Fuels - Carbon Dioxide Emission. </w:t>
      </w:r>
      <w:r w:rsidRPr="006D205F">
        <w:rPr>
          <w:rFonts w:cs="Times New Roman"/>
          <w:i/>
          <w:iCs/>
          <w:noProof/>
          <w:sz w:val="16"/>
          <w:szCs w:val="24"/>
        </w:rPr>
        <w:t>The Engineering Toolbox</w:t>
      </w:r>
      <w:r w:rsidRPr="006D205F">
        <w:rPr>
          <w:rFonts w:cs="Times New Roman"/>
          <w:noProof/>
          <w:sz w:val="16"/>
          <w:szCs w:val="24"/>
        </w:rPr>
        <w:t xml:space="preserve"> https://www.engineeringtoolbox.com/co2-emission-fuels-d_1085.html.</w:t>
      </w:r>
    </w:p>
    <w:p w14:paraId="61D941EA" w14:textId="3120EA79" w:rsidR="00C77414" w:rsidRPr="00F87235" w:rsidRDefault="001C4032" w:rsidP="006D205F">
      <w:pPr>
        <w:spacing w:after="0" w:line="240" w:lineRule="auto"/>
        <w:ind w:left="426" w:hanging="426"/>
        <w:rPr>
          <w:rFonts w:asciiTheme="minorHAnsi" w:hAnsiTheme="minorHAnsi"/>
          <w:sz w:val="16"/>
          <w:szCs w:val="16"/>
        </w:rPr>
      </w:pPr>
      <w:r w:rsidRPr="00F87235">
        <w:rPr>
          <w:rFonts w:asciiTheme="minorHAnsi" w:hAnsiTheme="minorHAnsi"/>
          <w:sz w:val="16"/>
          <w:szCs w:val="16"/>
        </w:rPr>
        <w:fldChar w:fldCharType="end"/>
      </w:r>
    </w:p>
    <w:sectPr w:rsidR="00C77414" w:rsidRPr="00F87235" w:rsidSect="007C372A">
      <w:pgSz w:w="11906" w:h="16838" w:code="9"/>
      <w:pgMar w:top="936" w:right="936" w:bottom="1418" w:left="936" w:header="851"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98499" w14:textId="77777777" w:rsidR="00CA16DD" w:rsidRPr="000D4EDE" w:rsidRDefault="00CA16DD" w:rsidP="000D4EDE">
      <w:r>
        <w:separator/>
      </w:r>
    </w:p>
  </w:endnote>
  <w:endnote w:type="continuationSeparator" w:id="0">
    <w:p w14:paraId="3A83CF9C" w14:textId="77777777" w:rsidR="00CA16DD" w:rsidRPr="000D4EDE" w:rsidRDefault="00CA16DD" w:rsidP="000D4EDE">
      <w:r>
        <w:continuationSeparator/>
      </w:r>
    </w:p>
  </w:endnote>
  <w:endnote w:type="continuationNotice" w:id="1">
    <w:p w14:paraId="096155D6" w14:textId="77777777" w:rsidR="00CA16DD" w:rsidRDefault="00CA16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Angsana New">
    <w:panose1 w:val="02020603050405020304"/>
    <w:charset w:val="DE"/>
    <w:family w:val="roman"/>
    <w:pitch w:val="variable"/>
    <w:sig w:usb0="81000003" w:usb1="00000000" w:usb2="00000000" w:usb3="00000000" w:csb0="00010001" w:csb1="00000000"/>
  </w:font>
  <w:font w:name="Clancy">
    <w:altName w:val="Cambria"/>
    <w:panose1 w:val="000000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ommet">
    <w:panose1 w:val="00000000000000000000"/>
    <w:charset w:val="00"/>
    <w:family w:val="modern"/>
    <w:notTrueType/>
    <w:pitch w:val="variable"/>
    <w:sig w:usb0="A00000AF" w:usb1="50000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1F7F" w14:textId="77777777" w:rsidR="00CA16DD" w:rsidRPr="000D4EDE" w:rsidRDefault="00CA16DD" w:rsidP="000D4EDE">
      <w:r>
        <w:separator/>
      </w:r>
    </w:p>
  </w:footnote>
  <w:footnote w:type="continuationSeparator" w:id="0">
    <w:p w14:paraId="29498E45" w14:textId="77777777" w:rsidR="00CA16DD" w:rsidRPr="000D4EDE" w:rsidRDefault="00CA16DD" w:rsidP="000D4EDE">
      <w:r>
        <w:continuationSeparator/>
      </w:r>
    </w:p>
  </w:footnote>
  <w:footnote w:type="continuationNotice" w:id="1">
    <w:p w14:paraId="098FD1CB" w14:textId="77777777" w:rsidR="00CA16DD" w:rsidRDefault="00CA16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3" w15:restartNumberingAfterBreak="0">
    <w:nsid w:val="FFFFFF80"/>
    <w:multiLevelType w:val="hybridMultilevel"/>
    <w:tmpl w:val="9C806390"/>
    <w:lvl w:ilvl="0" w:tplc="5BBEFD28">
      <w:start w:val="1"/>
      <w:numFmt w:val="bullet"/>
      <w:pStyle w:val="ListBullet5"/>
      <w:lvlText w:val=""/>
      <w:lvlJc w:val="left"/>
      <w:pPr>
        <w:tabs>
          <w:tab w:val="num" w:pos="1492"/>
        </w:tabs>
        <w:ind w:left="1492" w:hanging="360"/>
      </w:pPr>
      <w:rPr>
        <w:rFonts w:ascii="Symbol" w:hAnsi="Symbol" w:hint="default"/>
      </w:rPr>
    </w:lvl>
    <w:lvl w:ilvl="1" w:tplc="A276FBEC">
      <w:numFmt w:val="decimal"/>
      <w:lvlText w:val=""/>
      <w:lvlJc w:val="left"/>
    </w:lvl>
    <w:lvl w:ilvl="2" w:tplc="0F28DBD4">
      <w:numFmt w:val="decimal"/>
      <w:lvlText w:val=""/>
      <w:lvlJc w:val="left"/>
    </w:lvl>
    <w:lvl w:ilvl="3" w:tplc="156E816A">
      <w:numFmt w:val="decimal"/>
      <w:lvlText w:val=""/>
      <w:lvlJc w:val="left"/>
    </w:lvl>
    <w:lvl w:ilvl="4" w:tplc="2EEEE2C0">
      <w:numFmt w:val="decimal"/>
      <w:lvlText w:val=""/>
      <w:lvlJc w:val="left"/>
    </w:lvl>
    <w:lvl w:ilvl="5" w:tplc="5A9C8E90">
      <w:numFmt w:val="decimal"/>
      <w:lvlText w:val=""/>
      <w:lvlJc w:val="left"/>
    </w:lvl>
    <w:lvl w:ilvl="6" w:tplc="A7FE4C64">
      <w:numFmt w:val="decimal"/>
      <w:lvlText w:val=""/>
      <w:lvlJc w:val="left"/>
    </w:lvl>
    <w:lvl w:ilvl="7" w:tplc="2472B28C">
      <w:numFmt w:val="decimal"/>
      <w:lvlText w:val=""/>
      <w:lvlJc w:val="left"/>
    </w:lvl>
    <w:lvl w:ilvl="8" w:tplc="4740AF42">
      <w:numFmt w:val="decimal"/>
      <w:lvlText w:val=""/>
      <w:lvlJc w:val="left"/>
    </w:lvl>
  </w:abstractNum>
  <w:abstractNum w:abstractNumId="4"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3CF85818"/>
    <w:lvl w:ilvl="0">
      <w:start w:val="1"/>
      <w:numFmt w:val="bullet"/>
      <w:lvlText w:val=""/>
      <w:lvlJc w:val="left"/>
      <w:pPr>
        <w:ind w:left="360" w:hanging="360"/>
      </w:pPr>
      <w:rPr>
        <w:rFonts w:ascii="Symbol" w:hAnsi="Symbol" w:hint="default"/>
        <w:color w:val="000000" w:themeColor="text1"/>
      </w:rPr>
    </w:lvl>
  </w:abstractNum>
  <w:abstractNum w:abstractNumId="7" w15:restartNumberingAfterBreak="0">
    <w:nsid w:val="06983867"/>
    <w:multiLevelType w:val="multilevel"/>
    <w:tmpl w:val="2A626176"/>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426"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9525147"/>
    <w:multiLevelType w:val="hybridMultilevel"/>
    <w:tmpl w:val="CF3A8F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1066F0"/>
    <w:multiLevelType w:val="hybridMultilevel"/>
    <w:tmpl w:val="B8BC828E"/>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0E15E6"/>
    <w:multiLevelType w:val="hybridMultilevel"/>
    <w:tmpl w:val="ACCC9D4C"/>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977A5B"/>
    <w:multiLevelType w:val="hybridMultilevel"/>
    <w:tmpl w:val="9418D562"/>
    <w:lvl w:ilvl="0" w:tplc="00B6B1D0">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3D6883"/>
    <w:multiLevelType w:val="hybridMultilevel"/>
    <w:tmpl w:val="57C8FE9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B402EDF"/>
    <w:multiLevelType w:val="hybridMultilevel"/>
    <w:tmpl w:val="B03207DA"/>
    <w:lvl w:ilvl="0" w:tplc="08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7601AE"/>
    <w:multiLevelType w:val="hybridMultilevel"/>
    <w:tmpl w:val="1F0C9490"/>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17169F"/>
    <w:multiLevelType w:val="hybridMultilevel"/>
    <w:tmpl w:val="20BC17AA"/>
    <w:lvl w:ilvl="0" w:tplc="00B6B1D0">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5912CE"/>
    <w:multiLevelType w:val="hybridMultilevel"/>
    <w:tmpl w:val="3D649F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46270A"/>
    <w:multiLevelType w:val="hybridMultilevel"/>
    <w:tmpl w:val="BCDA7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7836C1"/>
    <w:multiLevelType w:val="hybridMultilevel"/>
    <w:tmpl w:val="AFB40214"/>
    <w:lvl w:ilvl="0" w:tplc="00B6B1D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2AFC4694"/>
    <w:multiLevelType w:val="hybridMultilevel"/>
    <w:tmpl w:val="D6E47694"/>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116FEC"/>
    <w:multiLevelType w:val="multilevel"/>
    <w:tmpl w:val="FE26979A"/>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3" w15:restartNumberingAfterBreak="0">
    <w:nsid w:val="2ECE5ED1"/>
    <w:multiLevelType w:val="hybridMultilevel"/>
    <w:tmpl w:val="7E0630D4"/>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A36F0D"/>
    <w:multiLevelType w:val="hybridMultilevel"/>
    <w:tmpl w:val="2A406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5F51A1"/>
    <w:multiLevelType w:val="multilevel"/>
    <w:tmpl w:val="DA66268C"/>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0AB1B76"/>
    <w:multiLevelType w:val="hybridMultilevel"/>
    <w:tmpl w:val="1F44BC62"/>
    <w:lvl w:ilvl="0" w:tplc="08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3B7ABB"/>
    <w:multiLevelType w:val="hybridMultilevel"/>
    <w:tmpl w:val="4C886076"/>
    <w:lvl w:ilvl="0" w:tplc="00B6B1D0">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945A8E"/>
    <w:multiLevelType w:val="hybridMultilevel"/>
    <w:tmpl w:val="AC14E730"/>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445F4"/>
    <w:multiLevelType w:val="singleLevel"/>
    <w:tmpl w:val="0744005C"/>
    <w:styleLink w:val="Lists"/>
    <w:lvl w:ilvl="0">
      <w:start w:val="1"/>
      <w:numFmt w:val="decimal"/>
      <w:lvlText w:val="%1."/>
      <w:lvlJc w:val="left"/>
      <w:pPr>
        <w:tabs>
          <w:tab w:val="num" w:pos="360"/>
        </w:tabs>
        <w:ind w:left="360" w:hanging="360"/>
      </w:pPr>
    </w:lvl>
  </w:abstractNum>
  <w:abstractNum w:abstractNumId="30" w15:restartNumberingAfterBreak="0">
    <w:nsid w:val="4D811A86"/>
    <w:multiLevelType w:val="hybridMultilevel"/>
    <w:tmpl w:val="C4F476C8"/>
    <w:lvl w:ilvl="0" w:tplc="736A27AE">
      <w:start w:val="14"/>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10B97"/>
    <w:multiLevelType w:val="hybridMultilevel"/>
    <w:tmpl w:val="99DACB9C"/>
    <w:lvl w:ilvl="0" w:tplc="00B6B1D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077B1"/>
    <w:multiLevelType w:val="hybridMultilevel"/>
    <w:tmpl w:val="0D6EA800"/>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DF18E1"/>
    <w:multiLevelType w:val="hybridMultilevel"/>
    <w:tmpl w:val="66CE8612"/>
    <w:lvl w:ilvl="0" w:tplc="08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370DBD"/>
    <w:multiLevelType w:val="hybridMultilevel"/>
    <w:tmpl w:val="617A2534"/>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9E0A2C"/>
    <w:multiLevelType w:val="hybridMultilevel"/>
    <w:tmpl w:val="F4BA2346"/>
    <w:lvl w:ilvl="0" w:tplc="7E169ED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7439C5"/>
    <w:multiLevelType w:val="hybridMultilevel"/>
    <w:tmpl w:val="13C02FA8"/>
    <w:lvl w:ilvl="0" w:tplc="00B6B1D0">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F703CA"/>
    <w:multiLevelType w:val="hybridMultilevel"/>
    <w:tmpl w:val="9FA02CDC"/>
    <w:lvl w:ilvl="0" w:tplc="48148ED8">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0701AC"/>
    <w:multiLevelType w:val="hybridMultilevel"/>
    <w:tmpl w:val="BB2C30D6"/>
    <w:lvl w:ilvl="0" w:tplc="08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C26057"/>
    <w:multiLevelType w:val="hybridMultilevel"/>
    <w:tmpl w:val="4C224474"/>
    <w:lvl w:ilvl="0" w:tplc="00B6B1D0">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9D22DF"/>
    <w:multiLevelType w:val="hybridMultilevel"/>
    <w:tmpl w:val="B9683E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1" w15:restartNumberingAfterBreak="0">
    <w:nsid w:val="73CB752C"/>
    <w:multiLevelType w:val="hybridMultilevel"/>
    <w:tmpl w:val="D068CF74"/>
    <w:lvl w:ilvl="0" w:tplc="75FE0E66">
      <w:start w:val="9"/>
      <w:numFmt w:val="bullet"/>
      <w:lvlText w:val="-"/>
      <w:lvlJc w:val="left"/>
      <w:pPr>
        <w:ind w:left="720" w:hanging="360"/>
      </w:pPr>
      <w:rPr>
        <w:rFonts w:ascii="Roboto" w:eastAsiaTheme="minorHAnsi" w:hAnsi="Robot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DE39B0"/>
    <w:multiLevelType w:val="hybridMultilevel"/>
    <w:tmpl w:val="87A06462"/>
    <w:lvl w:ilvl="0" w:tplc="08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C477047"/>
    <w:multiLevelType w:val="hybridMultilevel"/>
    <w:tmpl w:val="2DEAB106"/>
    <w:lvl w:ilvl="0" w:tplc="7E169ED0">
      <w:start w:val="1"/>
      <w:numFmt w:val="bullet"/>
      <w:lvlText w:val="―"/>
      <w:lvlJc w:val="left"/>
      <w:pPr>
        <w:ind w:left="-273" w:hanging="360"/>
      </w:pPr>
      <w:rPr>
        <w:rFonts w:ascii="Arial" w:hAnsi="Arial" w:hint="default"/>
      </w:rPr>
    </w:lvl>
    <w:lvl w:ilvl="1" w:tplc="0C090003" w:tentative="1">
      <w:start w:val="1"/>
      <w:numFmt w:val="bullet"/>
      <w:lvlText w:val="o"/>
      <w:lvlJc w:val="left"/>
      <w:pPr>
        <w:ind w:left="447" w:hanging="360"/>
      </w:pPr>
      <w:rPr>
        <w:rFonts w:ascii="Courier New" w:hAnsi="Courier New" w:cs="Courier New" w:hint="default"/>
      </w:rPr>
    </w:lvl>
    <w:lvl w:ilvl="2" w:tplc="0C090005" w:tentative="1">
      <w:start w:val="1"/>
      <w:numFmt w:val="bullet"/>
      <w:lvlText w:val=""/>
      <w:lvlJc w:val="left"/>
      <w:pPr>
        <w:ind w:left="1167" w:hanging="360"/>
      </w:pPr>
      <w:rPr>
        <w:rFonts w:ascii="Wingdings" w:hAnsi="Wingdings" w:hint="default"/>
      </w:rPr>
    </w:lvl>
    <w:lvl w:ilvl="3" w:tplc="0C090001" w:tentative="1">
      <w:start w:val="1"/>
      <w:numFmt w:val="bullet"/>
      <w:lvlText w:val=""/>
      <w:lvlJc w:val="left"/>
      <w:pPr>
        <w:ind w:left="1887" w:hanging="360"/>
      </w:pPr>
      <w:rPr>
        <w:rFonts w:ascii="Symbol" w:hAnsi="Symbol" w:hint="default"/>
      </w:rPr>
    </w:lvl>
    <w:lvl w:ilvl="4" w:tplc="0C090003" w:tentative="1">
      <w:start w:val="1"/>
      <w:numFmt w:val="bullet"/>
      <w:lvlText w:val="o"/>
      <w:lvlJc w:val="left"/>
      <w:pPr>
        <w:ind w:left="2607" w:hanging="360"/>
      </w:pPr>
      <w:rPr>
        <w:rFonts w:ascii="Courier New" w:hAnsi="Courier New" w:cs="Courier New" w:hint="default"/>
      </w:rPr>
    </w:lvl>
    <w:lvl w:ilvl="5" w:tplc="0C090005" w:tentative="1">
      <w:start w:val="1"/>
      <w:numFmt w:val="bullet"/>
      <w:lvlText w:val=""/>
      <w:lvlJc w:val="left"/>
      <w:pPr>
        <w:ind w:left="3327" w:hanging="360"/>
      </w:pPr>
      <w:rPr>
        <w:rFonts w:ascii="Wingdings" w:hAnsi="Wingdings" w:hint="default"/>
      </w:rPr>
    </w:lvl>
    <w:lvl w:ilvl="6" w:tplc="0C090001" w:tentative="1">
      <w:start w:val="1"/>
      <w:numFmt w:val="bullet"/>
      <w:lvlText w:val=""/>
      <w:lvlJc w:val="left"/>
      <w:pPr>
        <w:ind w:left="4047" w:hanging="360"/>
      </w:pPr>
      <w:rPr>
        <w:rFonts w:ascii="Symbol" w:hAnsi="Symbol" w:hint="default"/>
      </w:rPr>
    </w:lvl>
    <w:lvl w:ilvl="7" w:tplc="0C090003" w:tentative="1">
      <w:start w:val="1"/>
      <w:numFmt w:val="bullet"/>
      <w:lvlText w:val="o"/>
      <w:lvlJc w:val="left"/>
      <w:pPr>
        <w:ind w:left="4767" w:hanging="360"/>
      </w:pPr>
      <w:rPr>
        <w:rFonts w:ascii="Courier New" w:hAnsi="Courier New" w:cs="Courier New" w:hint="default"/>
      </w:rPr>
    </w:lvl>
    <w:lvl w:ilvl="8" w:tplc="0C090005" w:tentative="1">
      <w:start w:val="1"/>
      <w:numFmt w:val="bullet"/>
      <w:lvlText w:val=""/>
      <w:lvlJc w:val="left"/>
      <w:pPr>
        <w:ind w:left="5487" w:hanging="360"/>
      </w:pPr>
      <w:rPr>
        <w:rFonts w:ascii="Wingdings" w:hAnsi="Wingdings" w:hint="default"/>
      </w:rPr>
    </w:lvl>
  </w:abstractNum>
  <w:num w:numId="1">
    <w:abstractNumId w:val="20"/>
  </w:num>
  <w:num w:numId="2">
    <w:abstractNumId w:val="4"/>
  </w:num>
  <w:num w:numId="3">
    <w:abstractNumId w:val="5"/>
  </w:num>
  <w:num w:numId="4">
    <w:abstractNumId w:val="6"/>
  </w:num>
  <w:num w:numId="5">
    <w:abstractNumId w:val="29"/>
  </w:num>
  <w:num w:numId="6">
    <w:abstractNumId w:val="3"/>
  </w:num>
  <w:num w:numId="7">
    <w:abstractNumId w:val="0"/>
  </w:num>
  <w:num w:numId="8">
    <w:abstractNumId w:val="7"/>
    <w:lvlOverride w:ilvl="0">
      <w:lvl w:ilvl="0">
        <w:start w:val="1"/>
        <w:numFmt w:val="upperLetter"/>
        <w:pStyle w:val="AppendixHeading"/>
        <w:suff w:val="space"/>
        <w:lvlText w:val="Appendix %1:"/>
        <w:lvlJc w:val="left"/>
        <w:pPr>
          <w:ind w:left="8647" w:firstLine="0"/>
        </w:pPr>
        <w:rPr>
          <w:rFonts w:ascii="Roboto" w:hAnsi="Roboto" w:hint="default"/>
        </w:rPr>
      </w:lvl>
    </w:lvlOverride>
  </w:num>
  <w:num w:numId="9">
    <w:abstractNumId w:val="22"/>
  </w:num>
  <w:num w:numId="10">
    <w:abstractNumId w:val="25"/>
  </w:num>
  <w:num w:numId="11">
    <w:abstractNumId w:val="24"/>
  </w:num>
  <w:num w:numId="12">
    <w:abstractNumId w:val="40"/>
  </w:num>
  <w:num w:numId="13">
    <w:abstractNumId w:val="13"/>
  </w:num>
  <w:num w:numId="14">
    <w:abstractNumId w:val="19"/>
  </w:num>
  <w:num w:numId="15">
    <w:abstractNumId w:val="31"/>
  </w:num>
  <w:num w:numId="16">
    <w:abstractNumId w:val="37"/>
  </w:num>
  <w:num w:numId="17">
    <w:abstractNumId w:val="2"/>
  </w:num>
  <w:num w:numId="18">
    <w:abstractNumId w:val="1"/>
  </w:num>
  <w:num w:numId="19">
    <w:abstractNumId w:val="18"/>
  </w:num>
  <w:num w:numId="20">
    <w:abstractNumId w:val="12"/>
  </w:num>
  <w:num w:numId="21">
    <w:abstractNumId w:val="14"/>
  </w:num>
  <w:num w:numId="22">
    <w:abstractNumId w:val="42"/>
  </w:num>
  <w:num w:numId="23">
    <w:abstractNumId w:val="33"/>
  </w:num>
  <w:num w:numId="24">
    <w:abstractNumId w:val="26"/>
  </w:num>
  <w:num w:numId="25">
    <w:abstractNumId w:val="38"/>
  </w:num>
  <w:num w:numId="26">
    <w:abstractNumId w:val="8"/>
  </w:num>
  <w:num w:numId="27">
    <w:abstractNumId w:val="39"/>
  </w:num>
  <w:num w:numId="28">
    <w:abstractNumId w:val="16"/>
  </w:num>
  <w:num w:numId="29">
    <w:abstractNumId w:val="27"/>
  </w:num>
  <w:num w:numId="30">
    <w:abstractNumId w:val="36"/>
  </w:num>
  <w:num w:numId="31">
    <w:abstractNumId w:val="11"/>
  </w:num>
  <w:num w:numId="32">
    <w:abstractNumId w:val="7"/>
  </w:num>
  <w:num w:numId="33">
    <w:abstractNumId w:val="21"/>
  </w:num>
  <w:num w:numId="34">
    <w:abstractNumId w:val="32"/>
  </w:num>
  <w:num w:numId="35">
    <w:abstractNumId w:val="10"/>
  </w:num>
  <w:num w:numId="36">
    <w:abstractNumId w:val="17"/>
  </w:num>
  <w:num w:numId="37">
    <w:abstractNumId w:val="23"/>
  </w:num>
  <w:num w:numId="38">
    <w:abstractNumId w:val="35"/>
  </w:num>
  <w:num w:numId="39">
    <w:abstractNumId w:val="28"/>
  </w:num>
  <w:num w:numId="40">
    <w:abstractNumId w:val="43"/>
  </w:num>
  <w:num w:numId="41">
    <w:abstractNumId w:val="41"/>
  </w:num>
  <w:num w:numId="42">
    <w:abstractNumId w:val="9"/>
  </w:num>
  <w:num w:numId="43">
    <w:abstractNumId w:val="15"/>
  </w:num>
  <w:num w:numId="44">
    <w:abstractNumId w:val="30"/>
  </w:num>
  <w:num w:numId="45">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sjAyMzc0MbEwMTJS0lEKTi0uzszPAykwNKkFAKZ2swctAAAA"/>
  </w:docVars>
  <w:rsids>
    <w:rsidRoot w:val="005E6E58"/>
    <w:rsid w:val="000006C9"/>
    <w:rsid w:val="000007B7"/>
    <w:rsid w:val="0000081C"/>
    <w:rsid w:val="00000E2D"/>
    <w:rsid w:val="000010B7"/>
    <w:rsid w:val="00001152"/>
    <w:rsid w:val="00002202"/>
    <w:rsid w:val="00003AF0"/>
    <w:rsid w:val="000049AF"/>
    <w:rsid w:val="00005D98"/>
    <w:rsid w:val="000069BC"/>
    <w:rsid w:val="000072C4"/>
    <w:rsid w:val="00007CF5"/>
    <w:rsid w:val="00007F34"/>
    <w:rsid w:val="000105F7"/>
    <w:rsid w:val="00010605"/>
    <w:rsid w:val="00011C37"/>
    <w:rsid w:val="00011C96"/>
    <w:rsid w:val="000124B8"/>
    <w:rsid w:val="00012CE0"/>
    <w:rsid w:val="000132F0"/>
    <w:rsid w:val="00013AFA"/>
    <w:rsid w:val="000141B9"/>
    <w:rsid w:val="00014271"/>
    <w:rsid w:val="00015AB2"/>
    <w:rsid w:val="00015B9E"/>
    <w:rsid w:val="00016B80"/>
    <w:rsid w:val="00017020"/>
    <w:rsid w:val="000211CD"/>
    <w:rsid w:val="0002133B"/>
    <w:rsid w:val="00022186"/>
    <w:rsid w:val="00022BA2"/>
    <w:rsid w:val="000248FA"/>
    <w:rsid w:val="000259D1"/>
    <w:rsid w:val="0002654B"/>
    <w:rsid w:val="00026A64"/>
    <w:rsid w:val="0002736A"/>
    <w:rsid w:val="00027DE0"/>
    <w:rsid w:val="0003009D"/>
    <w:rsid w:val="000300C7"/>
    <w:rsid w:val="0003065E"/>
    <w:rsid w:val="0003070A"/>
    <w:rsid w:val="0003264E"/>
    <w:rsid w:val="00034A19"/>
    <w:rsid w:val="00034A76"/>
    <w:rsid w:val="000354DE"/>
    <w:rsid w:val="00035AB6"/>
    <w:rsid w:val="00035C0A"/>
    <w:rsid w:val="00036309"/>
    <w:rsid w:val="000368CE"/>
    <w:rsid w:val="00036F9E"/>
    <w:rsid w:val="00037B1A"/>
    <w:rsid w:val="00040033"/>
    <w:rsid w:val="0004006D"/>
    <w:rsid w:val="00040A1F"/>
    <w:rsid w:val="00040F18"/>
    <w:rsid w:val="000411BA"/>
    <w:rsid w:val="000413B3"/>
    <w:rsid w:val="000421F9"/>
    <w:rsid w:val="00042B53"/>
    <w:rsid w:val="0004485B"/>
    <w:rsid w:val="00044EAF"/>
    <w:rsid w:val="00046928"/>
    <w:rsid w:val="00052E70"/>
    <w:rsid w:val="00053014"/>
    <w:rsid w:val="000531D8"/>
    <w:rsid w:val="000535CF"/>
    <w:rsid w:val="0005447D"/>
    <w:rsid w:val="00054F45"/>
    <w:rsid w:val="0005571D"/>
    <w:rsid w:val="00055C52"/>
    <w:rsid w:val="000561DC"/>
    <w:rsid w:val="00056332"/>
    <w:rsid w:val="00056AE8"/>
    <w:rsid w:val="00056B71"/>
    <w:rsid w:val="00056D7A"/>
    <w:rsid w:val="000576BD"/>
    <w:rsid w:val="00057761"/>
    <w:rsid w:val="000579E4"/>
    <w:rsid w:val="00057B71"/>
    <w:rsid w:val="0006003F"/>
    <w:rsid w:val="00060D0E"/>
    <w:rsid w:val="000614BE"/>
    <w:rsid w:val="00061C31"/>
    <w:rsid w:val="000620FD"/>
    <w:rsid w:val="000623FA"/>
    <w:rsid w:val="00062577"/>
    <w:rsid w:val="00062880"/>
    <w:rsid w:val="00062EB6"/>
    <w:rsid w:val="00062F33"/>
    <w:rsid w:val="0006473D"/>
    <w:rsid w:val="00064F5D"/>
    <w:rsid w:val="000652D4"/>
    <w:rsid w:val="000657D7"/>
    <w:rsid w:val="00065FE7"/>
    <w:rsid w:val="00066C53"/>
    <w:rsid w:val="00066FC0"/>
    <w:rsid w:val="00067D00"/>
    <w:rsid w:val="00071007"/>
    <w:rsid w:val="0007202C"/>
    <w:rsid w:val="00072609"/>
    <w:rsid w:val="00072B30"/>
    <w:rsid w:val="00072C8E"/>
    <w:rsid w:val="0007319C"/>
    <w:rsid w:val="000732AA"/>
    <w:rsid w:val="00073F88"/>
    <w:rsid w:val="000744DA"/>
    <w:rsid w:val="000745BE"/>
    <w:rsid w:val="00074A2B"/>
    <w:rsid w:val="0007589D"/>
    <w:rsid w:val="000766C7"/>
    <w:rsid w:val="000767DD"/>
    <w:rsid w:val="00076968"/>
    <w:rsid w:val="00077910"/>
    <w:rsid w:val="000804E6"/>
    <w:rsid w:val="00080968"/>
    <w:rsid w:val="00080CEB"/>
    <w:rsid w:val="00080FB5"/>
    <w:rsid w:val="00080FDC"/>
    <w:rsid w:val="00081839"/>
    <w:rsid w:val="00082E5F"/>
    <w:rsid w:val="000845C2"/>
    <w:rsid w:val="00084741"/>
    <w:rsid w:val="00084806"/>
    <w:rsid w:val="00084F8B"/>
    <w:rsid w:val="00085054"/>
    <w:rsid w:val="00085506"/>
    <w:rsid w:val="000859A1"/>
    <w:rsid w:val="00085E04"/>
    <w:rsid w:val="00086D07"/>
    <w:rsid w:val="00086F71"/>
    <w:rsid w:val="000873A1"/>
    <w:rsid w:val="00087917"/>
    <w:rsid w:val="00087A68"/>
    <w:rsid w:val="00091B8D"/>
    <w:rsid w:val="000934A8"/>
    <w:rsid w:val="00093715"/>
    <w:rsid w:val="00093915"/>
    <w:rsid w:val="000949AD"/>
    <w:rsid w:val="00095109"/>
    <w:rsid w:val="00095132"/>
    <w:rsid w:val="00096B0F"/>
    <w:rsid w:val="00096E44"/>
    <w:rsid w:val="00096ECA"/>
    <w:rsid w:val="000A0F42"/>
    <w:rsid w:val="000A1697"/>
    <w:rsid w:val="000A2625"/>
    <w:rsid w:val="000A2E63"/>
    <w:rsid w:val="000A2E6C"/>
    <w:rsid w:val="000A37F1"/>
    <w:rsid w:val="000A47CF"/>
    <w:rsid w:val="000A490E"/>
    <w:rsid w:val="000A4CDF"/>
    <w:rsid w:val="000A5A17"/>
    <w:rsid w:val="000A6490"/>
    <w:rsid w:val="000A64B5"/>
    <w:rsid w:val="000A702B"/>
    <w:rsid w:val="000A71C1"/>
    <w:rsid w:val="000B04C5"/>
    <w:rsid w:val="000B1BCF"/>
    <w:rsid w:val="000B29A1"/>
    <w:rsid w:val="000B38B8"/>
    <w:rsid w:val="000B39A8"/>
    <w:rsid w:val="000B3D5A"/>
    <w:rsid w:val="000B6276"/>
    <w:rsid w:val="000B63CA"/>
    <w:rsid w:val="000B6EFF"/>
    <w:rsid w:val="000B7366"/>
    <w:rsid w:val="000B752A"/>
    <w:rsid w:val="000B7B08"/>
    <w:rsid w:val="000B7BCA"/>
    <w:rsid w:val="000C07A5"/>
    <w:rsid w:val="000C0E36"/>
    <w:rsid w:val="000C120E"/>
    <w:rsid w:val="000C14D9"/>
    <w:rsid w:val="000C15C7"/>
    <w:rsid w:val="000C1D4F"/>
    <w:rsid w:val="000C22AC"/>
    <w:rsid w:val="000C35D4"/>
    <w:rsid w:val="000C3824"/>
    <w:rsid w:val="000C3A37"/>
    <w:rsid w:val="000C41AF"/>
    <w:rsid w:val="000C5996"/>
    <w:rsid w:val="000C5BCD"/>
    <w:rsid w:val="000C607A"/>
    <w:rsid w:val="000C60C4"/>
    <w:rsid w:val="000C638F"/>
    <w:rsid w:val="000C7626"/>
    <w:rsid w:val="000D0997"/>
    <w:rsid w:val="000D10DB"/>
    <w:rsid w:val="000D121A"/>
    <w:rsid w:val="000D28E0"/>
    <w:rsid w:val="000D2966"/>
    <w:rsid w:val="000D2CA3"/>
    <w:rsid w:val="000D2CEE"/>
    <w:rsid w:val="000D3D5E"/>
    <w:rsid w:val="000D4207"/>
    <w:rsid w:val="000D47D8"/>
    <w:rsid w:val="000D4C18"/>
    <w:rsid w:val="000D4EDE"/>
    <w:rsid w:val="000D58FF"/>
    <w:rsid w:val="000D738D"/>
    <w:rsid w:val="000E08FC"/>
    <w:rsid w:val="000E1F86"/>
    <w:rsid w:val="000E2460"/>
    <w:rsid w:val="000E27D6"/>
    <w:rsid w:val="000E378D"/>
    <w:rsid w:val="000E423B"/>
    <w:rsid w:val="000E43AC"/>
    <w:rsid w:val="000E53C5"/>
    <w:rsid w:val="000E6083"/>
    <w:rsid w:val="000E6B71"/>
    <w:rsid w:val="000E726D"/>
    <w:rsid w:val="000E79DA"/>
    <w:rsid w:val="000E7BA2"/>
    <w:rsid w:val="000E7F7F"/>
    <w:rsid w:val="000F01F1"/>
    <w:rsid w:val="000F0290"/>
    <w:rsid w:val="000F0C1B"/>
    <w:rsid w:val="000F0C8B"/>
    <w:rsid w:val="000F1C15"/>
    <w:rsid w:val="000F4355"/>
    <w:rsid w:val="000F4577"/>
    <w:rsid w:val="000F46F9"/>
    <w:rsid w:val="000F5A0E"/>
    <w:rsid w:val="000F64E8"/>
    <w:rsid w:val="000F7047"/>
    <w:rsid w:val="000F719F"/>
    <w:rsid w:val="00100A46"/>
    <w:rsid w:val="001012C7"/>
    <w:rsid w:val="0010249C"/>
    <w:rsid w:val="001025E2"/>
    <w:rsid w:val="0010329C"/>
    <w:rsid w:val="00103B3F"/>
    <w:rsid w:val="00104823"/>
    <w:rsid w:val="001055D9"/>
    <w:rsid w:val="00105F89"/>
    <w:rsid w:val="001060F5"/>
    <w:rsid w:val="001066E8"/>
    <w:rsid w:val="00106BB8"/>
    <w:rsid w:val="00106BD4"/>
    <w:rsid w:val="001074F9"/>
    <w:rsid w:val="0011061E"/>
    <w:rsid w:val="00110BCB"/>
    <w:rsid w:val="00110C1A"/>
    <w:rsid w:val="00110FC7"/>
    <w:rsid w:val="00112374"/>
    <w:rsid w:val="00112C73"/>
    <w:rsid w:val="001145EC"/>
    <w:rsid w:val="00115585"/>
    <w:rsid w:val="0011695D"/>
    <w:rsid w:val="00116FC6"/>
    <w:rsid w:val="0011742C"/>
    <w:rsid w:val="00117A3F"/>
    <w:rsid w:val="00117CA5"/>
    <w:rsid w:val="00120166"/>
    <w:rsid w:val="00121B83"/>
    <w:rsid w:val="00121EAE"/>
    <w:rsid w:val="001227B2"/>
    <w:rsid w:val="00122AE2"/>
    <w:rsid w:val="00123576"/>
    <w:rsid w:val="00124229"/>
    <w:rsid w:val="001244A0"/>
    <w:rsid w:val="001245DF"/>
    <w:rsid w:val="00124707"/>
    <w:rsid w:val="00124A84"/>
    <w:rsid w:val="00124B21"/>
    <w:rsid w:val="00125751"/>
    <w:rsid w:val="00125B46"/>
    <w:rsid w:val="00125EAA"/>
    <w:rsid w:val="00126343"/>
    <w:rsid w:val="001268ED"/>
    <w:rsid w:val="00126E8E"/>
    <w:rsid w:val="0012756C"/>
    <w:rsid w:val="00127FC1"/>
    <w:rsid w:val="001302E8"/>
    <w:rsid w:val="00130678"/>
    <w:rsid w:val="00130964"/>
    <w:rsid w:val="001327B8"/>
    <w:rsid w:val="00132B64"/>
    <w:rsid w:val="00132BA9"/>
    <w:rsid w:val="00133423"/>
    <w:rsid w:val="00133ED6"/>
    <w:rsid w:val="0013471B"/>
    <w:rsid w:val="00134F5D"/>
    <w:rsid w:val="001352D4"/>
    <w:rsid w:val="001355E8"/>
    <w:rsid w:val="00135824"/>
    <w:rsid w:val="00135AAB"/>
    <w:rsid w:val="00136712"/>
    <w:rsid w:val="00142690"/>
    <w:rsid w:val="00142C97"/>
    <w:rsid w:val="001435E5"/>
    <w:rsid w:val="00144E15"/>
    <w:rsid w:val="001462BE"/>
    <w:rsid w:val="0014694B"/>
    <w:rsid w:val="00146A37"/>
    <w:rsid w:val="00146ABD"/>
    <w:rsid w:val="00147151"/>
    <w:rsid w:val="0014731F"/>
    <w:rsid w:val="00147433"/>
    <w:rsid w:val="00147A7F"/>
    <w:rsid w:val="00150181"/>
    <w:rsid w:val="001503E7"/>
    <w:rsid w:val="00150CA3"/>
    <w:rsid w:val="001514AB"/>
    <w:rsid w:val="00151643"/>
    <w:rsid w:val="00152BDA"/>
    <w:rsid w:val="001530C6"/>
    <w:rsid w:val="00153BFE"/>
    <w:rsid w:val="00154F26"/>
    <w:rsid w:val="00155381"/>
    <w:rsid w:val="001560F8"/>
    <w:rsid w:val="00156781"/>
    <w:rsid w:val="001569B6"/>
    <w:rsid w:val="001578AB"/>
    <w:rsid w:val="00157C76"/>
    <w:rsid w:val="00157C98"/>
    <w:rsid w:val="00157E29"/>
    <w:rsid w:val="001603CD"/>
    <w:rsid w:val="001629B6"/>
    <w:rsid w:val="00162A8B"/>
    <w:rsid w:val="0016370E"/>
    <w:rsid w:val="001653B6"/>
    <w:rsid w:val="00166507"/>
    <w:rsid w:val="001666F0"/>
    <w:rsid w:val="00166B2F"/>
    <w:rsid w:val="00167101"/>
    <w:rsid w:val="00167DE9"/>
    <w:rsid w:val="001705DF"/>
    <w:rsid w:val="00171162"/>
    <w:rsid w:val="00171AD6"/>
    <w:rsid w:val="00171B0F"/>
    <w:rsid w:val="00171C52"/>
    <w:rsid w:val="00172662"/>
    <w:rsid w:val="00172768"/>
    <w:rsid w:val="00172AC0"/>
    <w:rsid w:val="0017369B"/>
    <w:rsid w:val="00173C98"/>
    <w:rsid w:val="00174B0F"/>
    <w:rsid w:val="00175BDE"/>
    <w:rsid w:val="00176096"/>
    <w:rsid w:val="001768D1"/>
    <w:rsid w:val="00176F1A"/>
    <w:rsid w:val="0017730A"/>
    <w:rsid w:val="001804E9"/>
    <w:rsid w:val="00181AC6"/>
    <w:rsid w:val="0018235E"/>
    <w:rsid w:val="0018396A"/>
    <w:rsid w:val="00184209"/>
    <w:rsid w:val="00184EC8"/>
    <w:rsid w:val="00186C06"/>
    <w:rsid w:val="00187466"/>
    <w:rsid w:val="00190DAF"/>
    <w:rsid w:val="001910D5"/>
    <w:rsid w:val="0019282E"/>
    <w:rsid w:val="00192E48"/>
    <w:rsid w:val="0019308B"/>
    <w:rsid w:val="00193C88"/>
    <w:rsid w:val="00193ED9"/>
    <w:rsid w:val="00194355"/>
    <w:rsid w:val="00195589"/>
    <w:rsid w:val="00195E37"/>
    <w:rsid w:val="00195FBE"/>
    <w:rsid w:val="00196BB5"/>
    <w:rsid w:val="0019753D"/>
    <w:rsid w:val="00197622"/>
    <w:rsid w:val="001A0C17"/>
    <w:rsid w:val="001A0D4B"/>
    <w:rsid w:val="001A1096"/>
    <w:rsid w:val="001A1297"/>
    <w:rsid w:val="001A1851"/>
    <w:rsid w:val="001A23DA"/>
    <w:rsid w:val="001A2AAC"/>
    <w:rsid w:val="001A2D8E"/>
    <w:rsid w:val="001A3A0C"/>
    <w:rsid w:val="001A431C"/>
    <w:rsid w:val="001A50E3"/>
    <w:rsid w:val="001A55BC"/>
    <w:rsid w:val="001A5673"/>
    <w:rsid w:val="001A5B6C"/>
    <w:rsid w:val="001A664F"/>
    <w:rsid w:val="001A7704"/>
    <w:rsid w:val="001B1078"/>
    <w:rsid w:val="001B1632"/>
    <w:rsid w:val="001B2DB7"/>
    <w:rsid w:val="001B4533"/>
    <w:rsid w:val="001B4DB0"/>
    <w:rsid w:val="001B5383"/>
    <w:rsid w:val="001B690E"/>
    <w:rsid w:val="001B799C"/>
    <w:rsid w:val="001C03ED"/>
    <w:rsid w:val="001C07D2"/>
    <w:rsid w:val="001C0D60"/>
    <w:rsid w:val="001C1E92"/>
    <w:rsid w:val="001C2DD0"/>
    <w:rsid w:val="001C3792"/>
    <w:rsid w:val="001C3988"/>
    <w:rsid w:val="001C4032"/>
    <w:rsid w:val="001C4663"/>
    <w:rsid w:val="001C48D1"/>
    <w:rsid w:val="001C4A2E"/>
    <w:rsid w:val="001C5A05"/>
    <w:rsid w:val="001C699C"/>
    <w:rsid w:val="001C72F2"/>
    <w:rsid w:val="001C75E1"/>
    <w:rsid w:val="001D0296"/>
    <w:rsid w:val="001D0C02"/>
    <w:rsid w:val="001D1116"/>
    <w:rsid w:val="001D137C"/>
    <w:rsid w:val="001D1473"/>
    <w:rsid w:val="001D19EB"/>
    <w:rsid w:val="001D1E6F"/>
    <w:rsid w:val="001D210F"/>
    <w:rsid w:val="001D2461"/>
    <w:rsid w:val="001D38E3"/>
    <w:rsid w:val="001D4118"/>
    <w:rsid w:val="001D4765"/>
    <w:rsid w:val="001D47D6"/>
    <w:rsid w:val="001D5D4E"/>
    <w:rsid w:val="001D5E07"/>
    <w:rsid w:val="001D5EF3"/>
    <w:rsid w:val="001D6063"/>
    <w:rsid w:val="001D60D0"/>
    <w:rsid w:val="001D64F4"/>
    <w:rsid w:val="001D6A70"/>
    <w:rsid w:val="001D766D"/>
    <w:rsid w:val="001E0085"/>
    <w:rsid w:val="001E063E"/>
    <w:rsid w:val="001E0BC3"/>
    <w:rsid w:val="001E0F51"/>
    <w:rsid w:val="001E23D7"/>
    <w:rsid w:val="001E28B7"/>
    <w:rsid w:val="001E3742"/>
    <w:rsid w:val="001E43FB"/>
    <w:rsid w:val="001E4DBF"/>
    <w:rsid w:val="001E55BF"/>
    <w:rsid w:val="001E6D24"/>
    <w:rsid w:val="001E747F"/>
    <w:rsid w:val="001F010B"/>
    <w:rsid w:val="001F0C5C"/>
    <w:rsid w:val="001F1F32"/>
    <w:rsid w:val="001F2C43"/>
    <w:rsid w:val="001F2D71"/>
    <w:rsid w:val="001F2EF6"/>
    <w:rsid w:val="001F3826"/>
    <w:rsid w:val="001F446E"/>
    <w:rsid w:val="001F4679"/>
    <w:rsid w:val="001F51B4"/>
    <w:rsid w:val="001F54B9"/>
    <w:rsid w:val="001F60FB"/>
    <w:rsid w:val="001F6E1A"/>
    <w:rsid w:val="001F6E99"/>
    <w:rsid w:val="001F780A"/>
    <w:rsid w:val="001F78E8"/>
    <w:rsid w:val="001F7917"/>
    <w:rsid w:val="00200535"/>
    <w:rsid w:val="00200613"/>
    <w:rsid w:val="00200EC2"/>
    <w:rsid w:val="0020108F"/>
    <w:rsid w:val="00202ADA"/>
    <w:rsid w:val="002038A9"/>
    <w:rsid w:val="002040CD"/>
    <w:rsid w:val="0020466E"/>
    <w:rsid w:val="00205639"/>
    <w:rsid w:val="002056E0"/>
    <w:rsid w:val="002062A1"/>
    <w:rsid w:val="00207F67"/>
    <w:rsid w:val="0021063F"/>
    <w:rsid w:val="00211258"/>
    <w:rsid w:val="0021194D"/>
    <w:rsid w:val="00212ABD"/>
    <w:rsid w:val="002135F4"/>
    <w:rsid w:val="00213A66"/>
    <w:rsid w:val="00214FA5"/>
    <w:rsid w:val="002200EC"/>
    <w:rsid w:val="00220412"/>
    <w:rsid w:val="00220550"/>
    <w:rsid w:val="00221C15"/>
    <w:rsid w:val="00221D43"/>
    <w:rsid w:val="00221E43"/>
    <w:rsid w:val="00221FCB"/>
    <w:rsid w:val="0022283D"/>
    <w:rsid w:val="00222B3F"/>
    <w:rsid w:val="00223367"/>
    <w:rsid w:val="00223AFA"/>
    <w:rsid w:val="00223CC8"/>
    <w:rsid w:val="002259AD"/>
    <w:rsid w:val="00225A46"/>
    <w:rsid w:val="00225AF6"/>
    <w:rsid w:val="002267A1"/>
    <w:rsid w:val="002269F4"/>
    <w:rsid w:val="00226D1B"/>
    <w:rsid w:val="002301A2"/>
    <w:rsid w:val="00231A16"/>
    <w:rsid w:val="00231E31"/>
    <w:rsid w:val="002321B4"/>
    <w:rsid w:val="00232481"/>
    <w:rsid w:val="00233113"/>
    <w:rsid w:val="00235322"/>
    <w:rsid w:val="00235ECB"/>
    <w:rsid w:val="00235F76"/>
    <w:rsid w:val="00236780"/>
    <w:rsid w:val="00236C2D"/>
    <w:rsid w:val="002374B7"/>
    <w:rsid w:val="00237E7D"/>
    <w:rsid w:val="00240126"/>
    <w:rsid w:val="00241CF2"/>
    <w:rsid w:val="00242475"/>
    <w:rsid w:val="00242481"/>
    <w:rsid w:val="0024304D"/>
    <w:rsid w:val="0024336B"/>
    <w:rsid w:val="00243B34"/>
    <w:rsid w:val="00244826"/>
    <w:rsid w:val="00244D23"/>
    <w:rsid w:val="0024570B"/>
    <w:rsid w:val="00245F6F"/>
    <w:rsid w:val="00246426"/>
    <w:rsid w:val="002469FD"/>
    <w:rsid w:val="00246D21"/>
    <w:rsid w:val="00247706"/>
    <w:rsid w:val="00247989"/>
    <w:rsid w:val="002479B7"/>
    <w:rsid w:val="00247ACA"/>
    <w:rsid w:val="0025170F"/>
    <w:rsid w:val="00251973"/>
    <w:rsid w:val="002527D8"/>
    <w:rsid w:val="00252E6A"/>
    <w:rsid w:val="00253153"/>
    <w:rsid w:val="0025454D"/>
    <w:rsid w:val="00254B4F"/>
    <w:rsid w:val="00254D71"/>
    <w:rsid w:val="00254E7A"/>
    <w:rsid w:val="00255199"/>
    <w:rsid w:val="002552C0"/>
    <w:rsid w:val="002553BE"/>
    <w:rsid w:val="00256161"/>
    <w:rsid w:val="00256646"/>
    <w:rsid w:val="0025676B"/>
    <w:rsid w:val="00256BDE"/>
    <w:rsid w:val="0025782A"/>
    <w:rsid w:val="00257A8E"/>
    <w:rsid w:val="00257C24"/>
    <w:rsid w:val="002626F5"/>
    <w:rsid w:val="00263369"/>
    <w:rsid w:val="00263831"/>
    <w:rsid w:val="00264157"/>
    <w:rsid w:val="002653C8"/>
    <w:rsid w:val="00265400"/>
    <w:rsid w:val="00265DCD"/>
    <w:rsid w:val="002661A6"/>
    <w:rsid w:val="002665AE"/>
    <w:rsid w:val="0026682F"/>
    <w:rsid w:val="00266C23"/>
    <w:rsid w:val="002670F0"/>
    <w:rsid w:val="0026745A"/>
    <w:rsid w:val="00267683"/>
    <w:rsid w:val="00271C43"/>
    <w:rsid w:val="002730DD"/>
    <w:rsid w:val="00274189"/>
    <w:rsid w:val="00274D2F"/>
    <w:rsid w:val="00274DAC"/>
    <w:rsid w:val="00276333"/>
    <w:rsid w:val="0027672D"/>
    <w:rsid w:val="00277C26"/>
    <w:rsid w:val="002800B9"/>
    <w:rsid w:val="00280E01"/>
    <w:rsid w:val="0028156B"/>
    <w:rsid w:val="00281789"/>
    <w:rsid w:val="00282979"/>
    <w:rsid w:val="002835C3"/>
    <w:rsid w:val="0028373B"/>
    <w:rsid w:val="00284790"/>
    <w:rsid w:val="00284E85"/>
    <w:rsid w:val="00285D19"/>
    <w:rsid w:val="002863AD"/>
    <w:rsid w:val="00286409"/>
    <w:rsid w:val="002864D3"/>
    <w:rsid w:val="00286EAD"/>
    <w:rsid w:val="00287E21"/>
    <w:rsid w:val="0029108B"/>
    <w:rsid w:val="0029389B"/>
    <w:rsid w:val="0029554A"/>
    <w:rsid w:val="00296209"/>
    <w:rsid w:val="00297F4A"/>
    <w:rsid w:val="002A0E56"/>
    <w:rsid w:val="002A1894"/>
    <w:rsid w:val="002A2188"/>
    <w:rsid w:val="002A21C6"/>
    <w:rsid w:val="002A23FF"/>
    <w:rsid w:val="002A2FFD"/>
    <w:rsid w:val="002A36F2"/>
    <w:rsid w:val="002A38B6"/>
    <w:rsid w:val="002A4078"/>
    <w:rsid w:val="002A40B3"/>
    <w:rsid w:val="002A4259"/>
    <w:rsid w:val="002A43A8"/>
    <w:rsid w:val="002A4890"/>
    <w:rsid w:val="002A4C94"/>
    <w:rsid w:val="002A50BF"/>
    <w:rsid w:val="002A5CAE"/>
    <w:rsid w:val="002A5DAA"/>
    <w:rsid w:val="002A6B4F"/>
    <w:rsid w:val="002A7D14"/>
    <w:rsid w:val="002B00D6"/>
    <w:rsid w:val="002B04A6"/>
    <w:rsid w:val="002B0913"/>
    <w:rsid w:val="002B0C54"/>
    <w:rsid w:val="002B15EF"/>
    <w:rsid w:val="002B1889"/>
    <w:rsid w:val="002B1B44"/>
    <w:rsid w:val="002B22EE"/>
    <w:rsid w:val="002B28E4"/>
    <w:rsid w:val="002B4395"/>
    <w:rsid w:val="002B5127"/>
    <w:rsid w:val="002B59A2"/>
    <w:rsid w:val="002B5DC8"/>
    <w:rsid w:val="002B5E5A"/>
    <w:rsid w:val="002B5EFC"/>
    <w:rsid w:val="002B71B2"/>
    <w:rsid w:val="002B7504"/>
    <w:rsid w:val="002B75AD"/>
    <w:rsid w:val="002C06A3"/>
    <w:rsid w:val="002C06FA"/>
    <w:rsid w:val="002C0D62"/>
    <w:rsid w:val="002C0D97"/>
    <w:rsid w:val="002C163C"/>
    <w:rsid w:val="002C217B"/>
    <w:rsid w:val="002C21AC"/>
    <w:rsid w:val="002C2EE8"/>
    <w:rsid w:val="002C2F55"/>
    <w:rsid w:val="002C3080"/>
    <w:rsid w:val="002C331B"/>
    <w:rsid w:val="002C3732"/>
    <w:rsid w:val="002C3F3A"/>
    <w:rsid w:val="002C4C49"/>
    <w:rsid w:val="002C66D1"/>
    <w:rsid w:val="002C7065"/>
    <w:rsid w:val="002C7F4A"/>
    <w:rsid w:val="002D062F"/>
    <w:rsid w:val="002D081B"/>
    <w:rsid w:val="002D2037"/>
    <w:rsid w:val="002D278E"/>
    <w:rsid w:val="002D2804"/>
    <w:rsid w:val="002D2BB5"/>
    <w:rsid w:val="002D2CF1"/>
    <w:rsid w:val="002D36B2"/>
    <w:rsid w:val="002D4936"/>
    <w:rsid w:val="002D4B6C"/>
    <w:rsid w:val="002D5274"/>
    <w:rsid w:val="002D53E6"/>
    <w:rsid w:val="002D6748"/>
    <w:rsid w:val="002D7D12"/>
    <w:rsid w:val="002E15E0"/>
    <w:rsid w:val="002E2F13"/>
    <w:rsid w:val="002E3D05"/>
    <w:rsid w:val="002E42C8"/>
    <w:rsid w:val="002E4DE0"/>
    <w:rsid w:val="002E567B"/>
    <w:rsid w:val="002E581D"/>
    <w:rsid w:val="002E65E2"/>
    <w:rsid w:val="002E6D02"/>
    <w:rsid w:val="002E7BD7"/>
    <w:rsid w:val="002E7E0D"/>
    <w:rsid w:val="002F0054"/>
    <w:rsid w:val="002F0143"/>
    <w:rsid w:val="002F03D5"/>
    <w:rsid w:val="002F0C2C"/>
    <w:rsid w:val="002F204F"/>
    <w:rsid w:val="002F26EC"/>
    <w:rsid w:val="002F393E"/>
    <w:rsid w:val="002F3BFC"/>
    <w:rsid w:val="002F3FA1"/>
    <w:rsid w:val="002F463D"/>
    <w:rsid w:val="002F50F0"/>
    <w:rsid w:val="002F54B7"/>
    <w:rsid w:val="002F66FE"/>
    <w:rsid w:val="002F7283"/>
    <w:rsid w:val="002F7496"/>
    <w:rsid w:val="002F761F"/>
    <w:rsid w:val="003005E0"/>
    <w:rsid w:val="00300655"/>
    <w:rsid w:val="00300E68"/>
    <w:rsid w:val="00300F96"/>
    <w:rsid w:val="003012B7"/>
    <w:rsid w:val="00302AC2"/>
    <w:rsid w:val="00302BD6"/>
    <w:rsid w:val="00302D0B"/>
    <w:rsid w:val="00302EDB"/>
    <w:rsid w:val="00303411"/>
    <w:rsid w:val="0030398C"/>
    <w:rsid w:val="00303D18"/>
    <w:rsid w:val="00304DAD"/>
    <w:rsid w:val="00305166"/>
    <w:rsid w:val="003054BC"/>
    <w:rsid w:val="003064E9"/>
    <w:rsid w:val="00306995"/>
    <w:rsid w:val="00307847"/>
    <w:rsid w:val="00307ADD"/>
    <w:rsid w:val="00311408"/>
    <w:rsid w:val="003115FA"/>
    <w:rsid w:val="00312A66"/>
    <w:rsid w:val="003130CA"/>
    <w:rsid w:val="003135E5"/>
    <w:rsid w:val="00315C13"/>
    <w:rsid w:val="003161B2"/>
    <w:rsid w:val="003162CD"/>
    <w:rsid w:val="0031638F"/>
    <w:rsid w:val="00316D88"/>
    <w:rsid w:val="00316F18"/>
    <w:rsid w:val="00317E05"/>
    <w:rsid w:val="00317E9A"/>
    <w:rsid w:val="00321079"/>
    <w:rsid w:val="0032123F"/>
    <w:rsid w:val="00323DC3"/>
    <w:rsid w:val="00323E28"/>
    <w:rsid w:val="003245F1"/>
    <w:rsid w:val="003253B9"/>
    <w:rsid w:val="00325A77"/>
    <w:rsid w:val="00325B18"/>
    <w:rsid w:val="0032635A"/>
    <w:rsid w:val="00326628"/>
    <w:rsid w:val="0032749F"/>
    <w:rsid w:val="0032795A"/>
    <w:rsid w:val="00327C3A"/>
    <w:rsid w:val="0033032C"/>
    <w:rsid w:val="00331787"/>
    <w:rsid w:val="0033223F"/>
    <w:rsid w:val="003324DB"/>
    <w:rsid w:val="00332AF8"/>
    <w:rsid w:val="0033402D"/>
    <w:rsid w:val="003355C7"/>
    <w:rsid w:val="0033564F"/>
    <w:rsid w:val="00335E83"/>
    <w:rsid w:val="00336E20"/>
    <w:rsid w:val="00336E39"/>
    <w:rsid w:val="0033799C"/>
    <w:rsid w:val="00340894"/>
    <w:rsid w:val="00340E73"/>
    <w:rsid w:val="00341293"/>
    <w:rsid w:val="00342860"/>
    <w:rsid w:val="00342EA9"/>
    <w:rsid w:val="003430C3"/>
    <w:rsid w:val="003431D3"/>
    <w:rsid w:val="003433DB"/>
    <w:rsid w:val="00343AAA"/>
    <w:rsid w:val="00345E91"/>
    <w:rsid w:val="00346436"/>
    <w:rsid w:val="003469C0"/>
    <w:rsid w:val="0034705C"/>
    <w:rsid w:val="003472F1"/>
    <w:rsid w:val="00347570"/>
    <w:rsid w:val="00347846"/>
    <w:rsid w:val="00347E52"/>
    <w:rsid w:val="00347FFA"/>
    <w:rsid w:val="003505E3"/>
    <w:rsid w:val="00350DE0"/>
    <w:rsid w:val="003517AE"/>
    <w:rsid w:val="00351D7A"/>
    <w:rsid w:val="00351FB7"/>
    <w:rsid w:val="003534A4"/>
    <w:rsid w:val="00353F32"/>
    <w:rsid w:val="0035554D"/>
    <w:rsid w:val="00355AAE"/>
    <w:rsid w:val="00355F05"/>
    <w:rsid w:val="00355F49"/>
    <w:rsid w:val="003569EB"/>
    <w:rsid w:val="00356B5A"/>
    <w:rsid w:val="003570BE"/>
    <w:rsid w:val="0036028D"/>
    <w:rsid w:val="003603DC"/>
    <w:rsid w:val="00361CC9"/>
    <w:rsid w:val="0036362D"/>
    <w:rsid w:val="00363FE7"/>
    <w:rsid w:val="003642EF"/>
    <w:rsid w:val="00364919"/>
    <w:rsid w:val="0036543E"/>
    <w:rsid w:val="003657C0"/>
    <w:rsid w:val="00365FB9"/>
    <w:rsid w:val="00366360"/>
    <w:rsid w:val="003668C4"/>
    <w:rsid w:val="0037041D"/>
    <w:rsid w:val="00370D9D"/>
    <w:rsid w:val="00371250"/>
    <w:rsid w:val="00371AB1"/>
    <w:rsid w:val="00371F54"/>
    <w:rsid w:val="00374777"/>
    <w:rsid w:val="0037479C"/>
    <w:rsid w:val="0037528D"/>
    <w:rsid w:val="00375D4E"/>
    <w:rsid w:val="00376E38"/>
    <w:rsid w:val="0037770C"/>
    <w:rsid w:val="00377C8B"/>
    <w:rsid w:val="00377D32"/>
    <w:rsid w:val="00380344"/>
    <w:rsid w:val="00380465"/>
    <w:rsid w:val="00380BBE"/>
    <w:rsid w:val="0038117C"/>
    <w:rsid w:val="00381E60"/>
    <w:rsid w:val="00381E86"/>
    <w:rsid w:val="003820BF"/>
    <w:rsid w:val="00382A1B"/>
    <w:rsid w:val="00383A95"/>
    <w:rsid w:val="0038420A"/>
    <w:rsid w:val="00384411"/>
    <w:rsid w:val="00384C74"/>
    <w:rsid w:val="00384D7B"/>
    <w:rsid w:val="00385CA0"/>
    <w:rsid w:val="00387DC9"/>
    <w:rsid w:val="003912A0"/>
    <w:rsid w:val="003913D3"/>
    <w:rsid w:val="003913DE"/>
    <w:rsid w:val="003914E5"/>
    <w:rsid w:val="0039223A"/>
    <w:rsid w:val="00392795"/>
    <w:rsid w:val="00392EAD"/>
    <w:rsid w:val="00393234"/>
    <w:rsid w:val="00393260"/>
    <w:rsid w:val="00393F3C"/>
    <w:rsid w:val="003950FD"/>
    <w:rsid w:val="003963F3"/>
    <w:rsid w:val="00397203"/>
    <w:rsid w:val="00397B6F"/>
    <w:rsid w:val="003A128D"/>
    <w:rsid w:val="003A2733"/>
    <w:rsid w:val="003A2BAD"/>
    <w:rsid w:val="003A3021"/>
    <w:rsid w:val="003A37AA"/>
    <w:rsid w:val="003A5510"/>
    <w:rsid w:val="003A5F58"/>
    <w:rsid w:val="003A627E"/>
    <w:rsid w:val="003A69DA"/>
    <w:rsid w:val="003A6B61"/>
    <w:rsid w:val="003A74FA"/>
    <w:rsid w:val="003A79EE"/>
    <w:rsid w:val="003A7A59"/>
    <w:rsid w:val="003B05AE"/>
    <w:rsid w:val="003B24B8"/>
    <w:rsid w:val="003B50A0"/>
    <w:rsid w:val="003B5253"/>
    <w:rsid w:val="003B529D"/>
    <w:rsid w:val="003B5322"/>
    <w:rsid w:val="003B593F"/>
    <w:rsid w:val="003B59B5"/>
    <w:rsid w:val="003B65CC"/>
    <w:rsid w:val="003B6E16"/>
    <w:rsid w:val="003B746A"/>
    <w:rsid w:val="003B7DED"/>
    <w:rsid w:val="003C0070"/>
    <w:rsid w:val="003C180A"/>
    <w:rsid w:val="003C18A0"/>
    <w:rsid w:val="003C1E25"/>
    <w:rsid w:val="003C27F0"/>
    <w:rsid w:val="003C37D3"/>
    <w:rsid w:val="003C4035"/>
    <w:rsid w:val="003C5A1A"/>
    <w:rsid w:val="003C5BFA"/>
    <w:rsid w:val="003D01EE"/>
    <w:rsid w:val="003D0E6C"/>
    <w:rsid w:val="003D16FC"/>
    <w:rsid w:val="003D17B4"/>
    <w:rsid w:val="003D1E49"/>
    <w:rsid w:val="003D2737"/>
    <w:rsid w:val="003D27CB"/>
    <w:rsid w:val="003D2C16"/>
    <w:rsid w:val="003D2EF7"/>
    <w:rsid w:val="003D329D"/>
    <w:rsid w:val="003D3C93"/>
    <w:rsid w:val="003D4284"/>
    <w:rsid w:val="003D4595"/>
    <w:rsid w:val="003D6E5D"/>
    <w:rsid w:val="003D7077"/>
    <w:rsid w:val="003D7570"/>
    <w:rsid w:val="003E00F6"/>
    <w:rsid w:val="003E0B8B"/>
    <w:rsid w:val="003E0ED6"/>
    <w:rsid w:val="003E1BEA"/>
    <w:rsid w:val="003E207D"/>
    <w:rsid w:val="003E29EA"/>
    <w:rsid w:val="003E38D3"/>
    <w:rsid w:val="003E3936"/>
    <w:rsid w:val="003E4208"/>
    <w:rsid w:val="003E43AD"/>
    <w:rsid w:val="003E4F20"/>
    <w:rsid w:val="003E5310"/>
    <w:rsid w:val="003E54D1"/>
    <w:rsid w:val="003E5824"/>
    <w:rsid w:val="003E6BF6"/>
    <w:rsid w:val="003E725C"/>
    <w:rsid w:val="003E7288"/>
    <w:rsid w:val="003E76C0"/>
    <w:rsid w:val="003E777A"/>
    <w:rsid w:val="003F0102"/>
    <w:rsid w:val="003F01B7"/>
    <w:rsid w:val="003F0F0D"/>
    <w:rsid w:val="003F0FB3"/>
    <w:rsid w:val="003F23F9"/>
    <w:rsid w:val="003F2B45"/>
    <w:rsid w:val="003F2B7E"/>
    <w:rsid w:val="003F3531"/>
    <w:rsid w:val="003F369F"/>
    <w:rsid w:val="003F4A0F"/>
    <w:rsid w:val="003F50D9"/>
    <w:rsid w:val="003F52BC"/>
    <w:rsid w:val="003F5B31"/>
    <w:rsid w:val="003F60F5"/>
    <w:rsid w:val="003F727A"/>
    <w:rsid w:val="003F7390"/>
    <w:rsid w:val="003F7EA9"/>
    <w:rsid w:val="003F7EDC"/>
    <w:rsid w:val="00400052"/>
    <w:rsid w:val="00400D9A"/>
    <w:rsid w:val="00401650"/>
    <w:rsid w:val="0040173E"/>
    <w:rsid w:val="00401CFB"/>
    <w:rsid w:val="004020D8"/>
    <w:rsid w:val="004022E8"/>
    <w:rsid w:val="004024CA"/>
    <w:rsid w:val="00402D27"/>
    <w:rsid w:val="00402F17"/>
    <w:rsid w:val="0040617F"/>
    <w:rsid w:val="00407262"/>
    <w:rsid w:val="00410001"/>
    <w:rsid w:val="00410C0A"/>
    <w:rsid w:val="00411E5A"/>
    <w:rsid w:val="00413013"/>
    <w:rsid w:val="004139FD"/>
    <w:rsid w:val="00414491"/>
    <w:rsid w:val="0041461E"/>
    <w:rsid w:val="00414680"/>
    <w:rsid w:val="00415B2B"/>
    <w:rsid w:val="00417A88"/>
    <w:rsid w:val="00417A89"/>
    <w:rsid w:val="004211EC"/>
    <w:rsid w:val="00421318"/>
    <w:rsid w:val="00421BDF"/>
    <w:rsid w:val="00422064"/>
    <w:rsid w:val="004227CA"/>
    <w:rsid w:val="00422A14"/>
    <w:rsid w:val="0042324D"/>
    <w:rsid w:val="00423F92"/>
    <w:rsid w:val="00424D15"/>
    <w:rsid w:val="0042514B"/>
    <w:rsid w:val="00427862"/>
    <w:rsid w:val="00430A1A"/>
    <w:rsid w:val="0043179D"/>
    <w:rsid w:val="004319C9"/>
    <w:rsid w:val="00432F2A"/>
    <w:rsid w:val="00435339"/>
    <w:rsid w:val="00435772"/>
    <w:rsid w:val="00435D51"/>
    <w:rsid w:val="00436651"/>
    <w:rsid w:val="004366BB"/>
    <w:rsid w:val="0043699C"/>
    <w:rsid w:val="00436C03"/>
    <w:rsid w:val="00436D3B"/>
    <w:rsid w:val="00437050"/>
    <w:rsid w:val="00437403"/>
    <w:rsid w:val="00437537"/>
    <w:rsid w:val="00437A05"/>
    <w:rsid w:val="00440507"/>
    <w:rsid w:val="00440D0F"/>
    <w:rsid w:val="00440E80"/>
    <w:rsid w:val="0044153E"/>
    <w:rsid w:val="004417CD"/>
    <w:rsid w:val="00441AE5"/>
    <w:rsid w:val="00441CD5"/>
    <w:rsid w:val="00442018"/>
    <w:rsid w:val="00443364"/>
    <w:rsid w:val="0044447D"/>
    <w:rsid w:val="0044465E"/>
    <w:rsid w:val="00444B04"/>
    <w:rsid w:val="00445600"/>
    <w:rsid w:val="00445BCB"/>
    <w:rsid w:val="00445E9C"/>
    <w:rsid w:val="0044600A"/>
    <w:rsid w:val="00446D0F"/>
    <w:rsid w:val="00447EEE"/>
    <w:rsid w:val="0045003B"/>
    <w:rsid w:val="004507F7"/>
    <w:rsid w:val="00450860"/>
    <w:rsid w:val="00450C07"/>
    <w:rsid w:val="00450E82"/>
    <w:rsid w:val="00452001"/>
    <w:rsid w:val="0045213E"/>
    <w:rsid w:val="00454128"/>
    <w:rsid w:val="0045441A"/>
    <w:rsid w:val="004547D9"/>
    <w:rsid w:val="004551F6"/>
    <w:rsid w:val="00455567"/>
    <w:rsid w:val="004578A5"/>
    <w:rsid w:val="00457E29"/>
    <w:rsid w:val="00457EA7"/>
    <w:rsid w:val="0046144D"/>
    <w:rsid w:val="004626C3"/>
    <w:rsid w:val="0046375F"/>
    <w:rsid w:val="00463C64"/>
    <w:rsid w:val="00463C71"/>
    <w:rsid w:val="00463EE6"/>
    <w:rsid w:val="00463FA8"/>
    <w:rsid w:val="00464AAA"/>
    <w:rsid w:val="004651E8"/>
    <w:rsid w:val="00465F48"/>
    <w:rsid w:val="0046622F"/>
    <w:rsid w:val="00466692"/>
    <w:rsid w:val="00466FF8"/>
    <w:rsid w:val="00467111"/>
    <w:rsid w:val="00467A4A"/>
    <w:rsid w:val="00467B77"/>
    <w:rsid w:val="004706EB"/>
    <w:rsid w:val="004713A9"/>
    <w:rsid w:val="004715D5"/>
    <w:rsid w:val="00472485"/>
    <w:rsid w:val="00472CBC"/>
    <w:rsid w:val="0047301A"/>
    <w:rsid w:val="004750FB"/>
    <w:rsid w:val="0047606C"/>
    <w:rsid w:val="004760C6"/>
    <w:rsid w:val="00476745"/>
    <w:rsid w:val="00477822"/>
    <w:rsid w:val="00477966"/>
    <w:rsid w:val="00477B3B"/>
    <w:rsid w:val="00477E6F"/>
    <w:rsid w:val="00480752"/>
    <w:rsid w:val="004807F7"/>
    <w:rsid w:val="00480950"/>
    <w:rsid w:val="004827E9"/>
    <w:rsid w:val="00482939"/>
    <w:rsid w:val="00483313"/>
    <w:rsid w:val="00483D66"/>
    <w:rsid w:val="004864D9"/>
    <w:rsid w:val="004869AF"/>
    <w:rsid w:val="00486A40"/>
    <w:rsid w:val="004905A0"/>
    <w:rsid w:val="00490803"/>
    <w:rsid w:val="00492BA8"/>
    <w:rsid w:val="00493DAA"/>
    <w:rsid w:val="00494335"/>
    <w:rsid w:val="0049440D"/>
    <w:rsid w:val="004949EC"/>
    <w:rsid w:val="004957D6"/>
    <w:rsid w:val="00495A4C"/>
    <w:rsid w:val="00495DFE"/>
    <w:rsid w:val="00496602"/>
    <w:rsid w:val="004967A1"/>
    <w:rsid w:val="004A0993"/>
    <w:rsid w:val="004A0CDF"/>
    <w:rsid w:val="004A1C83"/>
    <w:rsid w:val="004A2340"/>
    <w:rsid w:val="004A368E"/>
    <w:rsid w:val="004A42C6"/>
    <w:rsid w:val="004A6B76"/>
    <w:rsid w:val="004A6FDD"/>
    <w:rsid w:val="004A7148"/>
    <w:rsid w:val="004A783C"/>
    <w:rsid w:val="004A7CCE"/>
    <w:rsid w:val="004B121B"/>
    <w:rsid w:val="004B2530"/>
    <w:rsid w:val="004B27B2"/>
    <w:rsid w:val="004B292F"/>
    <w:rsid w:val="004B2DC6"/>
    <w:rsid w:val="004B3134"/>
    <w:rsid w:val="004B3211"/>
    <w:rsid w:val="004B3254"/>
    <w:rsid w:val="004B32A0"/>
    <w:rsid w:val="004B3402"/>
    <w:rsid w:val="004B3705"/>
    <w:rsid w:val="004B53FC"/>
    <w:rsid w:val="004B584E"/>
    <w:rsid w:val="004B5DC6"/>
    <w:rsid w:val="004B7AC9"/>
    <w:rsid w:val="004C0085"/>
    <w:rsid w:val="004C008D"/>
    <w:rsid w:val="004C024F"/>
    <w:rsid w:val="004C02A2"/>
    <w:rsid w:val="004C02FD"/>
    <w:rsid w:val="004C10FE"/>
    <w:rsid w:val="004C1106"/>
    <w:rsid w:val="004C20E5"/>
    <w:rsid w:val="004C23B0"/>
    <w:rsid w:val="004C2504"/>
    <w:rsid w:val="004C2CC1"/>
    <w:rsid w:val="004C3A7F"/>
    <w:rsid w:val="004C465F"/>
    <w:rsid w:val="004C4ACC"/>
    <w:rsid w:val="004C5EA2"/>
    <w:rsid w:val="004C5F08"/>
    <w:rsid w:val="004C6966"/>
    <w:rsid w:val="004C6D4B"/>
    <w:rsid w:val="004C6EA8"/>
    <w:rsid w:val="004C7048"/>
    <w:rsid w:val="004C7C9E"/>
    <w:rsid w:val="004D1228"/>
    <w:rsid w:val="004D152E"/>
    <w:rsid w:val="004D16BD"/>
    <w:rsid w:val="004D1DE4"/>
    <w:rsid w:val="004D35ED"/>
    <w:rsid w:val="004D3E79"/>
    <w:rsid w:val="004D469F"/>
    <w:rsid w:val="004D5791"/>
    <w:rsid w:val="004D6DA3"/>
    <w:rsid w:val="004D7E15"/>
    <w:rsid w:val="004E03A0"/>
    <w:rsid w:val="004E03F7"/>
    <w:rsid w:val="004E095A"/>
    <w:rsid w:val="004E0A6D"/>
    <w:rsid w:val="004E1FB9"/>
    <w:rsid w:val="004E2269"/>
    <w:rsid w:val="004E24A7"/>
    <w:rsid w:val="004E2647"/>
    <w:rsid w:val="004E2FE3"/>
    <w:rsid w:val="004E5497"/>
    <w:rsid w:val="004E5C2E"/>
    <w:rsid w:val="004E78CE"/>
    <w:rsid w:val="004F05DF"/>
    <w:rsid w:val="004F3339"/>
    <w:rsid w:val="004F373D"/>
    <w:rsid w:val="004F47B3"/>
    <w:rsid w:val="004F4979"/>
    <w:rsid w:val="004F4F1B"/>
    <w:rsid w:val="004F51BA"/>
    <w:rsid w:val="004F52A7"/>
    <w:rsid w:val="004F5D3F"/>
    <w:rsid w:val="004F5E10"/>
    <w:rsid w:val="004F63C7"/>
    <w:rsid w:val="004F678E"/>
    <w:rsid w:val="004F6952"/>
    <w:rsid w:val="004F6DEE"/>
    <w:rsid w:val="004F7001"/>
    <w:rsid w:val="004F72A2"/>
    <w:rsid w:val="004F75A4"/>
    <w:rsid w:val="004F78B8"/>
    <w:rsid w:val="004F7DB7"/>
    <w:rsid w:val="00500954"/>
    <w:rsid w:val="00500D26"/>
    <w:rsid w:val="00500FC7"/>
    <w:rsid w:val="00501134"/>
    <w:rsid w:val="005020B8"/>
    <w:rsid w:val="00502158"/>
    <w:rsid w:val="00502547"/>
    <w:rsid w:val="0050262A"/>
    <w:rsid w:val="005026D4"/>
    <w:rsid w:val="00502E2B"/>
    <w:rsid w:val="00502F78"/>
    <w:rsid w:val="0050309F"/>
    <w:rsid w:val="005037F0"/>
    <w:rsid w:val="00503A51"/>
    <w:rsid w:val="0050460E"/>
    <w:rsid w:val="00504BCE"/>
    <w:rsid w:val="005057A2"/>
    <w:rsid w:val="00506744"/>
    <w:rsid w:val="00506E4E"/>
    <w:rsid w:val="00507366"/>
    <w:rsid w:val="0050784F"/>
    <w:rsid w:val="00507D31"/>
    <w:rsid w:val="00507E45"/>
    <w:rsid w:val="005100AD"/>
    <w:rsid w:val="005105CC"/>
    <w:rsid w:val="005109D4"/>
    <w:rsid w:val="00511C55"/>
    <w:rsid w:val="00511D75"/>
    <w:rsid w:val="0051203D"/>
    <w:rsid w:val="0051224A"/>
    <w:rsid w:val="00512309"/>
    <w:rsid w:val="00512AAE"/>
    <w:rsid w:val="00512D85"/>
    <w:rsid w:val="00512F01"/>
    <w:rsid w:val="0051380C"/>
    <w:rsid w:val="00513846"/>
    <w:rsid w:val="00513981"/>
    <w:rsid w:val="005140D8"/>
    <w:rsid w:val="00514CCE"/>
    <w:rsid w:val="00515795"/>
    <w:rsid w:val="00516713"/>
    <w:rsid w:val="00517CBD"/>
    <w:rsid w:val="0052057F"/>
    <w:rsid w:val="00520699"/>
    <w:rsid w:val="0052168A"/>
    <w:rsid w:val="00522F55"/>
    <w:rsid w:val="00522F7A"/>
    <w:rsid w:val="005232CF"/>
    <w:rsid w:val="00524AAA"/>
    <w:rsid w:val="00524CD8"/>
    <w:rsid w:val="00524D42"/>
    <w:rsid w:val="00524DCB"/>
    <w:rsid w:val="00525668"/>
    <w:rsid w:val="00527201"/>
    <w:rsid w:val="005303E7"/>
    <w:rsid w:val="0053105E"/>
    <w:rsid w:val="005314D7"/>
    <w:rsid w:val="0053166B"/>
    <w:rsid w:val="00533ACE"/>
    <w:rsid w:val="00533D29"/>
    <w:rsid w:val="00533E32"/>
    <w:rsid w:val="00533FBB"/>
    <w:rsid w:val="0053438F"/>
    <w:rsid w:val="005344F6"/>
    <w:rsid w:val="00534A79"/>
    <w:rsid w:val="00534DFD"/>
    <w:rsid w:val="0053565C"/>
    <w:rsid w:val="005357EE"/>
    <w:rsid w:val="00535B84"/>
    <w:rsid w:val="00537204"/>
    <w:rsid w:val="00540D6E"/>
    <w:rsid w:val="00540EA8"/>
    <w:rsid w:val="00541B85"/>
    <w:rsid w:val="0054203F"/>
    <w:rsid w:val="00542522"/>
    <w:rsid w:val="00542C99"/>
    <w:rsid w:val="005439BA"/>
    <w:rsid w:val="00543ACB"/>
    <w:rsid w:val="00544750"/>
    <w:rsid w:val="0054526E"/>
    <w:rsid w:val="0054587D"/>
    <w:rsid w:val="00545B98"/>
    <w:rsid w:val="00546E4D"/>
    <w:rsid w:val="00547472"/>
    <w:rsid w:val="00547632"/>
    <w:rsid w:val="005476B5"/>
    <w:rsid w:val="00547728"/>
    <w:rsid w:val="00547F98"/>
    <w:rsid w:val="005505E7"/>
    <w:rsid w:val="00550928"/>
    <w:rsid w:val="005509E4"/>
    <w:rsid w:val="0055206C"/>
    <w:rsid w:val="005520C1"/>
    <w:rsid w:val="00553A7E"/>
    <w:rsid w:val="005550DA"/>
    <w:rsid w:val="005551C0"/>
    <w:rsid w:val="00555CC4"/>
    <w:rsid w:val="00556760"/>
    <w:rsid w:val="005602CE"/>
    <w:rsid w:val="005602DA"/>
    <w:rsid w:val="00560606"/>
    <w:rsid w:val="005606A2"/>
    <w:rsid w:val="00561225"/>
    <w:rsid w:val="005613D3"/>
    <w:rsid w:val="00561CF9"/>
    <w:rsid w:val="0056237D"/>
    <w:rsid w:val="005627B4"/>
    <w:rsid w:val="00563221"/>
    <w:rsid w:val="0056477C"/>
    <w:rsid w:val="00565AB0"/>
    <w:rsid w:val="0056631C"/>
    <w:rsid w:val="00567597"/>
    <w:rsid w:val="005678B6"/>
    <w:rsid w:val="00567CC3"/>
    <w:rsid w:val="00571554"/>
    <w:rsid w:val="0057239E"/>
    <w:rsid w:val="0057247D"/>
    <w:rsid w:val="00572AC7"/>
    <w:rsid w:val="00573327"/>
    <w:rsid w:val="00573D61"/>
    <w:rsid w:val="00573F80"/>
    <w:rsid w:val="0057425E"/>
    <w:rsid w:val="00574790"/>
    <w:rsid w:val="00574A76"/>
    <w:rsid w:val="00574C8F"/>
    <w:rsid w:val="00575527"/>
    <w:rsid w:val="005764DC"/>
    <w:rsid w:val="0057650B"/>
    <w:rsid w:val="005768D1"/>
    <w:rsid w:val="00576EB8"/>
    <w:rsid w:val="005773D7"/>
    <w:rsid w:val="005809BF"/>
    <w:rsid w:val="00580E96"/>
    <w:rsid w:val="00580F4A"/>
    <w:rsid w:val="005819F4"/>
    <w:rsid w:val="00581D00"/>
    <w:rsid w:val="00582682"/>
    <w:rsid w:val="00582E55"/>
    <w:rsid w:val="00582F5D"/>
    <w:rsid w:val="005833DB"/>
    <w:rsid w:val="00583D38"/>
    <w:rsid w:val="00585CE7"/>
    <w:rsid w:val="00585FD3"/>
    <w:rsid w:val="005863D5"/>
    <w:rsid w:val="00586816"/>
    <w:rsid w:val="00586952"/>
    <w:rsid w:val="00586D8B"/>
    <w:rsid w:val="005870B6"/>
    <w:rsid w:val="00587339"/>
    <w:rsid w:val="00587E26"/>
    <w:rsid w:val="0059207C"/>
    <w:rsid w:val="00593C05"/>
    <w:rsid w:val="00593CC2"/>
    <w:rsid w:val="00593D63"/>
    <w:rsid w:val="00595456"/>
    <w:rsid w:val="00595F47"/>
    <w:rsid w:val="0059659E"/>
    <w:rsid w:val="005966E3"/>
    <w:rsid w:val="00597E71"/>
    <w:rsid w:val="005A2DBE"/>
    <w:rsid w:val="005A3F63"/>
    <w:rsid w:val="005A4457"/>
    <w:rsid w:val="005A4971"/>
    <w:rsid w:val="005A4C75"/>
    <w:rsid w:val="005A4D53"/>
    <w:rsid w:val="005A5590"/>
    <w:rsid w:val="005A5691"/>
    <w:rsid w:val="005A591C"/>
    <w:rsid w:val="005A59D0"/>
    <w:rsid w:val="005A5E16"/>
    <w:rsid w:val="005A61ED"/>
    <w:rsid w:val="005A6291"/>
    <w:rsid w:val="005A7177"/>
    <w:rsid w:val="005A7B4C"/>
    <w:rsid w:val="005A7F1B"/>
    <w:rsid w:val="005B052B"/>
    <w:rsid w:val="005B073E"/>
    <w:rsid w:val="005B0EFD"/>
    <w:rsid w:val="005B13C6"/>
    <w:rsid w:val="005B16A6"/>
    <w:rsid w:val="005B1961"/>
    <w:rsid w:val="005B1F41"/>
    <w:rsid w:val="005B227F"/>
    <w:rsid w:val="005B2D9A"/>
    <w:rsid w:val="005B3590"/>
    <w:rsid w:val="005B3D90"/>
    <w:rsid w:val="005B4BDF"/>
    <w:rsid w:val="005B4F9B"/>
    <w:rsid w:val="005B504C"/>
    <w:rsid w:val="005B51AB"/>
    <w:rsid w:val="005B6022"/>
    <w:rsid w:val="005B6246"/>
    <w:rsid w:val="005B6D7B"/>
    <w:rsid w:val="005B7801"/>
    <w:rsid w:val="005B7B25"/>
    <w:rsid w:val="005B7E99"/>
    <w:rsid w:val="005C01E0"/>
    <w:rsid w:val="005C319B"/>
    <w:rsid w:val="005C4022"/>
    <w:rsid w:val="005C429E"/>
    <w:rsid w:val="005C4F1F"/>
    <w:rsid w:val="005C56C1"/>
    <w:rsid w:val="005C5891"/>
    <w:rsid w:val="005C7205"/>
    <w:rsid w:val="005D03AC"/>
    <w:rsid w:val="005D03C2"/>
    <w:rsid w:val="005D0648"/>
    <w:rsid w:val="005D0D93"/>
    <w:rsid w:val="005D1214"/>
    <w:rsid w:val="005D1759"/>
    <w:rsid w:val="005D1A67"/>
    <w:rsid w:val="005D1C68"/>
    <w:rsid w:val="005D2B94"/>
    <w:rsid w:val="005D3E1B"/>
    <w:rsid w:val="005D4508"/>
    <w:rsid w:val="005D4B8D"/>
    <w:rsid w:val="005D5211"/>
    <w:rsid w:val="005D525A"/>
    <w:rsid w:val="005D5B9C"/>
    <w:rsid w:val="005D5FAE"/>
    <w:rsid w:val="005D6076"/>
    <w:rsid w:val="005D62A3"/>
    <w:rsid w:val="005D68B5"/>
    <w:rsid w:val="005D6B66"/>
    <w:rsid w:val="005D6E05"/>
    <w:rsid w:val="005D708B"/>
    <w:rsid w:val="005E0F32"/>
    <w:rsid w:val="005E1092"/>
    <w:rsid w:val="005E1550"/>
    <w:rsid w:val="005E1DF6"/>
    <w:rsid w:val="005E2619"/>
    <w:rsid w:val="005E2F32"/>
    <w:rsid w:val="005E3908"/>
    <w:rsid w:val="005E42B7"/>
    <w:rsid w:val="005E474D"/>
    <w:rsid w:val="005E5E3D"/>
    <w:rsid w:val="005E68D2"/>
    <w:rsid w:val="005E6E58"/>
    <w:rsid w:val="005E72AE"/>
    <w:rsid w:val="005E748C"/>
    <w:rsid w:val="005E7E13"/>
    <w:rsid w:val="005F042D"/>
    <w:rsid w:val="005F0A61"/>
    <w:rsid w:val="005F15C9"/>
    <w:rsid w:val="005F229B"/>
    <w:rsid w:val="005F29B7"/>
    <w:rsid w:val="005F360F"/>
    <w:rsid w:val="005F43F3"/>
    <w:rsid w:val="005F5084"/>
    <w:rsid w:val="005F5EEF"/>
    <w:rsid w:val="005F5F07"/>
    <w:rsid w:val="005F60CE"/>
    <w:rsid w:val="005F6720"/>
    <w:rsid w:val="00600681"/>
    <w:rsid w:val="00600728"/>
    <w:rsid w:val="00600BB3"/>
    <w:rsid w:val="00600EEA"/>
    <w:rsid w:val="00601859"/>
    <w:rsid w:val="00601E3F"/>
    <w:rsid w:val="00603099"/>
    <w:rsid w:val="00603450"/>
    <w:rsid w:val="00603D00"/>
    <w:rsid w:val="00604259"/>
    <w:rsid w:val="006045ED"/>
    <w:rsid w:val="00605F58"/>
    <w:rsid w:val="00606659"/>
    <w:rsid w:val="00606A1E"/>
    <w:rsid w:val="00606EA9"/>
    <w:rsid w:val="00606EB5"/>
    <w:rsid w:val="00607057"/>
    <w:rsid w:val="0061003D"/>
    <w:rsid w:val="006119EC"/>
    <w:rsid w:val="00612F10"/>
    <w:rsid w:val="00613BE7"/>
    <w:rsid w:val="00613F63"/>
    <w:rsid w:val="0061435B"/>
    <w:rsid w:val="006145DA"/>
    <w:rsid w:val="00614B00"/>
    <w:rsid w:val="00615428"/>
    <w:rsid w:val="006154FE"/>
    <w:rsid w:val="00615CA4"/>
    <w:rsid w:val="00617FDA"/>
    <w:rsid w:val="0062116F"/>
    <w:rsid w:val="00621260"/>
    <w:rsid w:val="00622F98"/>
    <w:rsid w:val="0062379C"/>
    <w:rsid w:val="006239A8"/>
    <w:rsid w:val="0062423F"/>
    <w:rsid w:val="0062589A"/>
    <w:rsid w:val="00626087"/>
    <w:rsid w:val="0062730E"/>
    <w:rsid w:val="00627842"/>
    <w:rsid w:val="00627D50"/>
    <w:rsid w:val="006309FA"/>
    <w:rsid w:val="00630B06"/>
    <w:rsid w:val="00631B80"/>
    <w:rsid w:val="00631F47"/>
    <w:rsid w:val="0063237B"/>
    <w:rsid w:val="00632CA8"/>
    <w:rsid w:val="00633D5E"/>
    <w:rsid w:val="006344AA"/>
    <w:rsid w:val="00634505"/>
    <w:rsid w:val="00634A12"/>
    <w:rsid w:val="00634E4C"/>
    <w:rsid w:val="00635746"/>
    <w:rsid w:val="00635B09"/>
    <w:rsid w:val="00636B8B"/>
    <w:rsid w:val="00637279"/>
    <w:rsid w:val="0064044B"/>
    <w:rsid w:val="00642109"/>
    <w:rsid w:val="00642128"/>
    <w:rsid w:val="006426FB"/>
    <w:rsid w:val="006427FE"/>
    <w:rsid w:val="00645085"/>
    <w:rsid w:val="006473E2"/>
    <w:rsid w:val="006506C1"/>
    <w:rsid w:val="0065086C"/>
    <w:rsid w:val="00651086"/>
    <w:rsid w:val="006514F4"/>
    <w:rsid w:val="00653B37"/>
    <w:rsid w:val="00653C1A"/>
    <w:rsid w:val="00654B64"/>
    <w:rsid w:val="00655125"/>
    <w:rsid w:val="00655DB4"/>
    <w:rsid w:val="00655F3D"/>
    <w:rsid w:val="0065747A"/>
    <w:rsid w:val="00657554"/>
    <w:rsid w:val="00661462"/>
    <w:rsid w:val="006616FB"/>
    <w:rsid w:val="00661DF0"/>
    <w:rsid w:val="006628AE"/>
    <w:rsid w:val="0066319F"/>
    <w:rsid w:val="006631B2"/>
    <w:rsid w:val="00663466"/>
    <w:rsid w:val="00664042"/>
    <w:rsid w:val="00664F0F"/>
    <w:rsid w:val="00665931"/>
    <w:rsid w:val="006659AB"/>
    <w:rsid w:val="00665DF3"/>
    <w:rsid w:val="0066674D"/>
    <w:rsid w:val="00666A78"/>
    <w:rsid w:val="00667191"/>
    <w:rsid w:val="006675D9"/>
    <w:rsid w:val="00667E05"/>
    <w:rsid w:val="00671196"/>
    <w:rsid w:val="00671975"/>
    <w:rsid w:val="00671A01"/>
    <w:rsid w:val="00673CB1"/>
    <w:rsid w:val="006752C5"/>
    <w:rsid w:val="0067599A"/>
    <w:rsid w:val="00675BD8"/>
    <w:rsid w:val="006761FC"/>
    <w:rsid w:val="00676C12"/>
    <w:rsid w:val="006802B9"/>
    <w:rsid w:val="006805A2"/>
    <w:rsid w:val="006806F6"/>
    <w:rsid w:val="006816B7"/>
    <w:rsid w:val="00681E1A"/>
    <w:rsid w:val="00681E9D"/>
    <w:rsid w:val="00682231"/>
    <w:rsid w:val="00682A86"/>
    <w:rsid w:val="006831D7"/>
    <w:rsid w:val="0068386A"/>
    <w:rsid w:val="006840FB"/>
    <w:rsid w:val="00684131"/>
    <w:rsid w:val="00684A1C"/>
    <w:rsid w:val="0068522F"/>
    <w:rsid w:val="0068536C"/>
    <w:rsid w:val="0068562A"/>
    <w:rsid w:val="00685B10"/>
    <w:rsid w:val="006871DE"/>
    <w:rsid w:val="00687529"/>
    <w:rsid w:val="0068775D"/>
    <w:rsid w:val="00687A78"/>
    <w:rsid w:val="00687CE8"/>
    <w:rsid w:val="00690B98"/>
    <w:rsid w:val="00690ED5"/>
    <w:rsid w:val="00691663"/>
    <w:rsid w:val="006920D8"/>
    <w:rsid w:val="006932B9"/>
    <w:rsid w:val="0069375D"/>
    <w:rsid w:val="0069407C"/>
    <w:rsid w:val="0069423E"/>
    <w:rsid w:val="0069493A"/>
    <w:rsid w:val="0069509C"/>
    <w:rsid w:val="0069574E"/>
    <w:rsid w:val="00696AAE"/>
    <w:rsid w:val="00696BFC"/>
    <w:rsid w:val="00697E34"/>
    <w:rsid w:val="006A0274"/>
    <w:rsid w:val="006A1921"/>
    <w:rsid w:val="006A1C2D"/>
    <w:rsid w:val="006A2201"/>
    <w:rsid w:val="006A2303"/>
    <w:rsid w:val="006A2EF0"/>
    <w:rsid w:val="006A3030"/>
    <w:rsid w:val="006A34C4"/>
    <w:rsid w:val="006A3A6E"/>
    <w:rsid w:val="006A45D3"/>
    <w:rsid w:val="006A5282"/>
    <w:rsid w:val="006A6310"/>
    <w:rsid w:val="006A753D"/>
    <w:rsid w:val="006A76BB"/>
    <w:rsid w:val="006B0198"/>
    <w:rsid w:val="006B09BB"/>
    <w:rsid w:val="006B09F3"/>
    <w:rsid w:val="006B2C88"/>
    <w:rsid w:val="006B2DFE"/>
    <w:rsid w:val="006B2F6F"/>
    <w:rsid w:val="006B3372"/>
    <w:rsid w:val="006B567E"/>
    <w:rsid w:val="006B5873"/>
    <w:rsid w:val="006B58D5"/>
    <w:rsid w:val="006B6214"/>
    <w:rsid w:val="006B652B"/>
    <w:rsid w:val="006B7F2D"/>
    <w:rsid w:val="006C0844"/>
    <w:rsid w:val="006C1A1F"/>
    <w:rsid w:val="006C212D"/>
    <w:rsid w:val="006C213C"/>
    <w:rsid w:val="006C4596"/>
    <w:rsid w:val="006C4919"/>
    <w:rsid w:val="006C4BE8"/>
    <w:rsid w:val="006C4CCA"/>
    <w:rsid w:val="006C55B2"/>
    <w:rsid w:val="006C5803"/>
    <w:rsid w:val="006C5810"/>
    <w:rsid w:val="006C632D"/>
    <w:rsid w:val="006C7FDE"/>
    <w:rsid w:val="006D04A2"/>
    <w:rsid w:val="006D0DCE"/>
    <w:rsid w:val="006D18FC"/>
    <w:rsid w:val="006D205F"/>
    <w:rsid w:val="006D2309"/>
    <w:rsid w:val="006D4906"/>
    <w:rsid w:val="006D511E"/>
    <w:rsid w:val="006D68BF"/>
    <w:rsid w:val="006D69EB"/>
    <w:rsid w:val="006D6B16"/>
    <w:rsid w:val="006D6BAA"/>
    <w:rsid w:val="006D7F83"/>
    <w:rsid w:val="006E0741"/>
    <w:rsid w:val="006E08E2"/>
    <w:rsid w:val="006E0954"/>
    <w:rsid w:val="006E13AF"/>
    <w:rsid w:val="006E1932"/>
    <w:rsid w:val="006E25FB"/>
    <w:rsid w:val="006E260B"/>
    <w:rsid w:val="006E266A"/>
    <w:rsid w:val="006E300B"/>
    <w:rsid w:val="006E3485"/>
    <w:rsid w:val="006E3DE3"/>
    <w:rsid w:val="006E3EE6"/>
    <w:rsid w:val="006E5339"/>
    <w:rsid w:val="006E64CD"/>
    <w:rsid w:val="006E727B"/>
    <w:rsid w:val="006E7E75"/>
    <w:rsid w:val="006F00BC"/>
    <w:rsid w:val="006F0CBB"/>
    <w:rsid w:val="006F0F84"/>
    <w:rsid w:val="006F145A"/>
    <w:rsid w:val="006F21DE"/>
    <w:rsid w:val="006F2254"/>
    <w:rsid w:val="006F27CB"/>
    <w:rsid w:val="006F27E9"/>
    <w:rsid w:val="006F3024"/>
    <w:rsid w:val="006F3268"/>
    <w:rsid w:val="006F359B"/>
    <w:rsid w:val="006F3BC1"/>
    <w:rsid w:val="006F3FBB"/>
    <w:rsid w:val="006F4242"/>
    <w:rsid w:val="006F4FC7"/>
    <w:rsid w:val="006F5865"/>
    <w:rsid w:val="006F6C1B"/>
    <w:rsid w:val="007002D4"/>
    <w:rsid w:val="007004CF"/>
    <w:rsid w:val="00700A79"/>
    <w:rsid w:val="0070183C"/>
    <w:rsid w:val="00701EC6"/>
    <w:rsid w:val="0070272E"/>
    <w:rsid w:val="00702B00"/>
    <w:rsid w:val="00702F96"/>
    <w:rsid w:val="0070420F"/>
    <w:rsid w:val="007046A0"/>
    <w:rsid w:val="00704F54"/>
    <w:rsid w:val="00706162"/>
    <w:rsid w:val="00706179"/>
    <w:rsid w:val="00706396"/>
    <w:rsid w:val="00706918"/>
    <w:rsid w:val="00706ABD"/>
    <w:rsid w:val="00706CC9"/>
    <w:rsid w:val="00707167"/>
    <w:rsid w:val="007077C9"/>
    <w:rsid w:val="00710509"/>
    <w:rsid w:val="00710852"/>
    <w:rsid w:val="00710F6A"/>
    <w:rsid w:val="007110C7"/>
    <w:rsid w:val="0071120B"/>
    <w:rsid w:val="00711894"/>
    <w:rsid w:val="00711A62"/>
    <w:rsid w:val="00711EB6"/>
    <w:rsid w:val="007126BB"/>
    <w:rsid w:val="007128AE"/>
    <w:rsid w:val="00712AB4"/>
    <w:rsid w:val="00713056"/>
    <w:rsid w:val="00713D28"/>
    <w:rsid w:val="00713FD5"/>
    <w:rsid w:val="0071495B"/>
    <w:rsid w:val="00714D37"/>
    <w:rsid w:val="00714F78"/>
    <w:rsid w:val="0071517B"/>
    <w:rsid w:val="00716467"/>
    <w:rsid w:val="00716E83"/>
    <w:rsid w:val="007170F7"/>
    <w:rsid w:val="007205FC"/>
    <w:rsid w:val="00721180"/>
    <w:rsid w:val="00721C07"/>
    <w:rsid w:val="00721EAD"/>
    <w:rsid w:val="00721F38"/>
    <w:rsid w:val="00722910"/>
    <w:rsid w:val="00722FAC"/>
    <w:rsid w:val="007232C8"/>
    <w:rsid w:val="007236D8"/>
    <w:rsid w:val="007243C1"/>
    <w:rsid w:val="007244DF"/>
    <w:rsid w:val="007249F2"/>
    <w:rsid w:val="00724A35"/>
    <w:rsid w:val="007253B8"/>
    <w:rsid w:val="00725514"/>
    <w:rsid w:val="00727DBC"/>
    <w:rsid w:val="007304B9"/>
    <w:rsid w:val="00731441"/>
    <w:rsid w:val="00731F19"/>
    <w:rsid w:val="00731FEE"/>
    <w:rsid w:val="00732C3B"/>
    <w:rsid w:val="007336DE"/>
    <w:rsid w:val="00734E26"/>
    <w:rsid w:val="00734FAA"/>
    <w:rsid w:val="007351AC"/>
    <w:rsid w:val="0073561B"/>
    <w:rsid w:val="0073566F"/>
    <w:rsid w:val="0073610F"/>
    <w:rsid w:val="00736E7D"/>
    <w:rsid w:val="0073735E"/>
    <w:rsid w:val="00740A40"/>
    <w:rsid w:val="007412D5"/>
    <w:rsid w:val="00741598"/>
    <w:rsid w:val="00742243"/>
    <w:rsid w:val="00742452"/>
    <w:rsid w:val="00742893"/>
    <w:rsid w:val="007446A2"/>
    <w:rsid w:val="00744A76"/>
    <w:rsid w:val="00744F61"/>
    <w:rsid w:val="0074517C"/>
    <w:rsid w:val="0074573D"/>
    <w:rsid w:val="00745900"/>
    <w:rsid w:val="00746210"/>
    <w:rsid w:val="00746D3A"/>
    <w:rsid w:val="00747078"/>
    <w:rsid w:val="00750607"/>
    <w:rsid w:val="007509A6"/>
    <w:rsid w:val="00750EB7"/>
    <w:rsid w:val="00752277"/>
    <w:rsid w:val="0075344B"/>
    <w:rsid w:val="0075371C"/>
    <w:rsid w:val="00753F83"/>
    <w:rsid w:val="007541B0"/>
    <w:rsid w:val="0075469B"/>
    <w:rsid w:val="00755163"/>
    <w:rsid w:val="00756237"/>
    <w:rsid w:val="00756A52"/>
    <w:rsid w:val="00756AAB"/>
    <w:rsid w:val="00756B03"/>
    <w:rsid w:val="00756E2F"/>
    <w:rsid w:val="00757709"/>
    <w:rsid w:val="00757EA0"/>
    <w:rsid w:val="00757F63"/>
    <w:rsid w:val="00760939"/>
    <w:rsid w:val="0076186E"/>
    <w:rsid w:val="00761BBF"/>
    <w:rsid w:val="007626AB"/>
    <w:rsid w:val="0076357C"/>
    <w:rsid w:val="00763E13"/>
    <w:rsid w:val="007645AE"/>
    <w:rsid w:val="007648B3"/>
    <w:rsid w:val="00764992"/>
    <w:rsid w:val="00764FEB"/>
    <w:rsid w:val="007659A8"/>
    <w:rsid w:val="00766B65"/>
    <w:rsid w:val="00767567"/>
    <w:rsid w:val="00770013"/>
    <w:rsid w:val="00770C55"/>
    <w:rsid w:val="0077114B"/>
    <w:rsid w:val="00772A5B"/>
    <w:rsid w:val="00773A88"/>
    <w:rsid w:val="00773FFE"/>
    <w:rsid w:val="0077442A"/>
    <w:rsid w:val="007749B3"/>
    <w:rsid w:val="00775139"/>
    <w:rsid w:val="007759CF"/>
    <w:rsid w:val="00775AA0"/>
    <w:rsid w:val="00775C44"/>
    <w:rsid w:val="00775FC6"/>
    <w:rsid w:val="007770FA"/>
    <w:rsid w:val="00777475"/>
    <w:rsid w:val="00777981"/>
    <w:rsid w:val="0078134B"/>
    <w:rsid w:val="00781FF4"/>
    <w:rsid w:val="0078389D"/>
    <w:rsid w:val="00783905"/>
    <w:rsid w:val="00783EDB"/>
    <w:rsid w:val="00784E7C"/>
    <w:rsid w:val="0078548C"/>
    <w:rsid w:val="00785654"/>
    <w:rsid w:val="00785C1E"/>
    <w:rsid w:val="00785F8F"/>
    <w:rsid w:val="0078699A"/>
    <w:rsid w:val="007874E7"/>
    <w:rsid w:val="0078782E"/>
    <w:rsid w:val="00790539"/>
    <w:rsid w:val="007909FD"/>
    <w:rsid w:val="00791738"/>
    <w:rsid w:val="00791780"/>
    <w:rsid w:val="00792F44"/>
    <w:rsid w:val="0079302D"/>
    <w:rsid w:val="007931C8"/>
    <w:rsid w:val="007966A8"/>
    <w:rsid w:val="00796E8E"/>
    <w:rsid w:val="0079725C"/>
    <w:rsid w:val="007A0CE7"/>
    <w:rsid w:val="007A0EB7"/>
    <w:rsid w:val="007A12FA"/>
    <w:rsid w:val="007A1DBD"/>
    <w:rsid w:val="007A1E8B"/>
    <w:rsid w:val="007A23AF"/>
    <w:rsid w:val="007A2999"/>
    <w:rsid w:val="007A2CFE"/>
    <w:rsid w:val="007A322D"/>
    <w:rsid w:val="007A43FF"/>
    <w:rsid w:val="007A4E39"/>
    <w:rsid w:val="007A50E7"/>
    <w:rsid w:val="007A5135"/>
    <w:rsid w:val="007A5435"/>
    <w:rsid w:val="007A5A84"/>
    <w:rsid w:val="007A61C6"/>
    <w:rsid w:val="007A72B5"/>
    <w:rsid w:val="007A7D49"/>
    <w:rsid w:val="007A7DC5"/>
    <w:rsid w:val="007B0007"/>
    <w:rsid w:val="007B025D"/>
    <w:rsid w:val="007B1524"/>
    <w:rsid w:val="007B1B25"/>
    <w:rsid w:val="007B1B34"/>
    <w:rsid w:val="007B1DA3"/>
    <w:rsid w:val="007B1E34"/>
    <w:rsid w:val="007B2B49"/>
    <w:rsid w:val="007B2C4F"/>
    <w:rsid w:val="007B31D6"/>
    <w:rsid w:val="007B382F"/>
    <w:rsid w:val="007B61E1"/>
    <w:rsid w:val="007B66E0"/>
    <w:rsid w:val="007B7912"/>
    <w:rsid w:val="007C01A6"/>
    <w:rsid w:val="007C08B1"/>
    <w:rsid w:val="007C2700"/>
    <w:rsid w:val="007C27FF"/>
    <w:rsid w:val="007C2CC2"/>
    <w:rsid w:val="007C2DC1"/>
    <w:rsid w:val="007C33A3"/>
    <w:rsid w:val="007C372A"/>
    <w:rsid w:val="007C38AF"/>
    <w:rsid w:val="007C38BD"/>
    <w:rsid w:val="007C4D05"/>
    <w:rsid w:val="007C5622"/>
    <w:rsid w:val="007C5F6B"/>
    <w:rsid w:val="007C6FAF"/>
    <w:rsid w:val="007C785F"/>
    <w:rsid w:val="007C79AA"/>
    <w:rsid w:val="007C7B6D"/>
    <w:rsid w:val="007D0071"/>
    <w:rsid w:val="007D04A6"/>
    <w:rsid w:val="007D12B0"/>
    <w:rsid w:val="007D14FB"/>
    <w:rsid w:val="007D16D8"/>
    <w:rsid w:val="007D1E02"/>
    <w:rsid w:val="007D2D8F"/>
    <w:rsid w:val="007D31DA"/>
    <w:rsid w:val="007D3428"/>
    <w:rsid w:val="007D3B10"/>
    <w:rsid w:val="007D3E2B"/>
    <w:rsid w:val="007D41B9"/>
    <w:rsid w:val="007D4685"/>
    <w:rsid w:val="007D4A68"/>
    <w:rsid w:val="007D4F1A"/>
    <w:rsid w:val="007D5D32"/>
    <w:rsid w:val="007D6E16"/>
    <w:rsid w:val="007D72C5"/>
    <w:rsid w:val="007E0441"/>
    <w:rsid w:val="007E1101"/>
    <w:rsid w:val="007E12A4"/>
    <w:rsid w:val="007E3BF8"/>
    <w:rsid w:val="007E3DDF"/>
    <w:rsid w:val="007E41BD"/>
    <w:rsid w:val="007E41D9"/>
    <w:rsid w:val="007E444B"/>
    <w:rsid w:val="007E5231"/>
    <w:rsid w:val="007E525D"/>
    <w:rsid w:val="007E5CEF"/>
    <w:rsid w:val="007E5F96"/>
    <w:rsid w:val="007E6D19"/>
    <w:rsid w:val="007E6D42"/>
    <w:rsid w:val="007E6DF3"/>
    <w:rsid w:val="007E725E"/>
    <w:rsid w:val="007F0323"/>
    <w:rsid w:val="007F045F"/>
    <w:rsid w:val="007F1574"/>
    <w:rsid w:val="007F1E51"/>
    <w:rsid w:val="007F249F"/>
    <w:rsid w:val="007F2A0B"/>
    <w:rsid w:val="007F2DD4"/>
    <w:rsid w:val="007F32AE"/>
    <w:rsid w:val="007F3463"/>
    <w:rsid w:val="007F357C"/>
    <w:rsid w:val="007F35AD"/>
    <w:rsid w:val="007F379E"/>
    <w:rsid w:val="007F471C"/>
    <w:rsid w:val="007F5427"/>
    <w:rsid w:val="007F554E"/>
    <w:rsid w:val="007F5C87"/>
    <w:rsid w:val="007F6F85"/>
    <w:rsid w:val="00800315"/>
    <w:rsid w:val="00800C90"/>
    <w:rsid w:val="00801AD0"/>
    <w:rsid w:val="00802638"/>
    <w:rsid w:val="0080336F"/>
    <w:rsid w:val="00805F05"/>
    <w:rsid w:val="008066C0"/>
    <w:rsid w:val="008066F4"/>
    <w:rsid w:val="00807410"/>
    <w:rsid w:val="00810A8C"/>
    <w:rsid w:val="00810C87"/>
    <w:rsid w:val="00812056"/>
    <w:rsid w:val="008120B5"/>
    <w:rsid w:val="008125F8"/>
    <w:rsid w:val="0081262D"/>
    <w:rsid w:val="00812726"/>
    <w:rsid w:val="00812878"/>
    <w:rsid w:val="00812A16"/>
    <w:rsid w:val="00813875"/>
    <w:rsid w:val="00813AD5"/>
    <w:rsid w:val="00813BAF"/>
    <w:rsid w:val="0081703A"/>
    <w:rsid w:val="008201FA"/>
    <w:rsid w:val="0082031A"/>
    <w:rsid w:val="0082149E"/>
    <w:rsid w:val="00821E0A"/>
    <w:rsid w:val="00822618"/>
    <w:rsid w:val="00823B6D"/>
    <w:rsid w:val="00823BF0"/>
    <w:rsid w:val="00823E50"/>
    <w:rsid w:val="00823F0D"/>
    <w:rsid w:val="00824C6C"/>
    <w:rsid w:val="00824D74"/>
    <w:rsid w:val="00825F56"/>
    <w:rsid w:val="0082613C"/>
    <w:rsid w:val="008266DC"/>
    <w:rsid w:val="00826AF8"/>
    <w:rsid w:val="00826D45"/>
    <w:rsid w:val="008271E6"/>
    <w:rsid w:val="00827DEA"/>
    <w:rsid w:val="008302D8"/>
    <w:rsid w:val="0083078D"/>
    <w:rsid w:val="00830DBF"/>
    <w:rsid w:val="00830DFA"/>
    <w:rsid w:val="008320DC"/>
    <w:rsid w:val="00832122"/>
    <w:rsid w:val="0083306D"/>
    <w:rsid w:val="0083315C"/>
    <w:rsid w:val="00833E56"/>
    <w:rsid w:val="00834561"/>
    <w:rsid w:val="0083574C"/>
    <w:rsid w:val="00835E8E"/>
    <w:rsid w:val="00835E9B"/>
    <w:rsid w:val="00835EE3"/>
    <w:rsid w:val="00837A0F"/>
    <w:rsid w:val="008409AF"/>
    <w:rsid w:val="008432F8"/>
    <w:rsid w:val="00843898"/>
    <w:rsid w:val="00843D51"/>
    <w:rsid w:val="00844B1D"/>
    <w:rsid w:val="00844F5C"/>
    <w:rsid w:val="00845843"/>
    <w:rsid w:val="00845EF1"/>
    <w:rsid w:val="0084600F"/>
    <w:rsid w:val="008465FE"/>
    <w:rsid w:val="00846D34"/>
    <w:rsid w:val="008470F6"/>
    <w:rsid w:val="00850740"/>
    <w:rsid w:val="00850AB3"/>
    <w:rsid w:val="00851E16"/>
    <w:rsid w:val="00852713"/>
    <w:rsid w:val="00852989"/>
    <w:rsid w:val="00852D8C"/>
    <w:rsid w:val="0085416B"/>
    <w:rsid w:val="00854D8C"/>
    <w:rsid w:val="00855561"/>
    <w:rsid w:val="00855D87"/>
    <w:rsid w:val="008566B2"/>
    <w:rsid w:val="008568A1"/>
    <w:rsid w:val="00856DE5"/>
    <w:rsid w:val="00857126"/>
    <w:rsid w:val="00857301"/>
    <w:rsid w:val="008578C7"/>
    <w:rsid w:val="00857F90"/>
    <w:rsid w:val="00860C50"/>
    <w:rsid w:val="00862421"/>
    <w:rsid w:val="00862507"/>
    <w:rsid w:val="008626A4"/>
    <w:rsid w:val="00863345"/>
    <w:rsid w:val="008637EC"/>
    <w:rsid w:val="0086480E"/>
    <w:rsid w:val="00865541"/>
    <w:rsid w:val="008659BE"/>
    <w:rsid w:val="008668B2"/>
    <w:rsid w:val="00867231"/>
    <w:rsid w:val="00867708"/>
    <w:rsid w:val="008678F4"/>
    <w:rsid w:val="00867EDB"/>
    <w:rsid w:val="008705DC"/>
    <w:rsid w:val="00870BC6"/>
    <w:rsid w:val="00871AC6"/>
    <w:rsid w:val="00871CA8"/>
    <w:rsid w:val="008721B7"/>
    <w:rsid w:val="0087227C"/>
    <w:rsid w:val="00872F18"/>
    <w:rsid w:val="00873A04"/>
    <w:rsid w:val="0087458F"/>
    <w:rsid w:val="00874D7F"/>
    <w:rsid w:val="008756F8"/>
    <w:rsid w:val="008762D3"/>
    <w:rsid w:val="00876369"/>
    <w:rsid w:val="0087705F"/>
    <w:rsid w:val="008770F1"/>
    <w:rsid w:val="008777C7"/>
    <w:rsid w:val="00880272"/>
    <w:rsid w:val="00880358"/>
    <w:rsid w:val="0088036D"/>
    <w:rsid w:val="0088080D"/>
    <w:rsid w:val="00881155"/>
    <w:rsid w:val="00881B3A"/>
    <w:rsid w:val="00882183"/>
    <w:rsid w:val="008825A0"/>
    <w:rsid w:val="00882892"/>
    <w:rsid w:val="00882961"/>
    <w:rsid w:val="00884D79"/>
    <w:rsid w:val="008859BA"/>
    <w:rsid w:val="00885A14"/>
    <w:rsid w:val="0088689B"/>
    <w:rsid w:val="0088718E"/>
    <w:rsid w:val="0088794B"/>
    <w:rsid w:val="00887F51"/>
    <w:rsid w:val="00890180"/>
    <w:rsid w:val="0089021C"/>
    <w:rsid w:val="00890FA0"/>
    <w:rsid w:val="00891D23"/>
    <w:rsid w:val="00893AA9"/>
    <w:rsid w:val="00893B35"/>
    <w:rsid w:val="00893D23"/>
    <w:rsid w:val="008947BF"/>
    <w:rsid w:val="00894AD3"/>
    <w:rsid w:val="008957DD"/>
    <w:rsid w:val="00895C87"/>
    <w:rsid w:val="008960A5"/>
    <w:rsid w:val="008965FB"/>
    <w:rsid w:val="008969AA"/>
    <w:rsid w:val="008A0148"/>
    <w:rsid w:val="008A1E91"/>
    <w:rsid w:val="008A214D"/>
    <w:rsid w:val="008A2373"/>
    <w:rsid w:val="008A3A74"/>
    <w:rsid w:val="008A4E4D"/>
    <w:rsid w:val="008A50FF"/>
    <w:rsid w:val="008A630B"/>
    <w:rsid w:val="008A7082"/>
    <w:rsid w:val="008A72D2"/>
    <w:rsid w:val="008A74A3"/>
    <w:rsid w:val="008B007A"/>
    <w:rsid w:val="008B0E09"/>
    <w:rsid w:val="008B19F4"/>
    <w:rsid w:val="008B1A3A"/>
    <w:rsid w:val="008B26B0"/>
    <w:rsid w:val="008B2C88"/>
    <w:rsid w:val="008B356B"/>
    <w:rsid w:val="008B4512"/>
    <w:rsid w:val="008B488C"/>
    <w:rsid w:val="008B5EF1"/>
    <w:rsid w:val="008B634C"/>
    <w:rsid w:val="008B6658"/>
    <w:rsid w:val="008B6868"/>
    <w:rsid w:val="008B6D24"/>
    <w:rsid w:val="008C0009"/>
    <w:rsid w:val="008C04E4"/>
    <w:rsid w:val="008C0DE9"/>
    <w:rsid w:val="008C15DF"/>
    <w:rsid w:val="008C194D"/>
    <w:rsid w:val="008C1955"/>
    <w:rsid w:val="008C23DC"/>
    <w:rsid w:val="008C3388"/>
    <w:rsid w:val="008C3669"/>
    <w:rsid w:val="008C405B"/>
    <w:rsid w:val="008C4902"/>
    <w:rsid w:val="008C5C51"/>
    <w:rsid w:val="008C67DD"/>
    <w:rsid w:val="008C6A43"/>
    <w:rsid w:val="008C6CD5"/>
    <w:rsid w:val="008C70E8"/>
    <w:rsid w:val="008D080C"/>
    <w:rsid w:val="008D0B4D"/>
    <w:rsid w:val="008D0B56"/>
    <w:rsid w:val="008D1694"/>
    <w:rsid w:val="008D265B"/>
    <w:rsid w:val="008D2A4F"/>
    <w:rsid w:val="008D409A"/>
    <w:rsid w:val="008D4DE8"/>
    <w:rsid w:val="008D579B"/>
    <w:rsid w:val="008D5DB6"/>
    <w:rsid w:val="008D613A"/>
    <w:rsid w:val="008D619D"/>
    <w:rsid w:val="008D6437"/>
    <w:rsid w:val="008D6EDF"/>
    <w:rsid w:val="008D6F27"/>
    <w:rsid w:val="008D7DA2"/>
    <w:rsid w:val="008E07EF"/>
    <w:rsid w:val="008E141B"/>
    <w:rsid w:val="008E2929"/>
    <w:rsid w:val="008E2F2C"/>
    <w:rsid w:val="008E3496"/>
    <w:rsid w:val="008E36AE"/>
    <w:rsid w:val="008E3DCD"/>
    <w:rsid w:val="008E3EF5"/>
    <w:rsid w:val="008E4951"/>
    <w:rsid w:val="008E4CF0"/>
    <w:rsid w:val="008F0158"/>
    <w:rsid w:val="008F0229"/>
    <w:rsid w:val="008F0DC1"/>
    <w:rsid w:val="008F0F22"/>
    <w:rsid w:val="008F1A88"/>
    <w:rsid w:val="008F1C7F"/>
    <w:rsid w:val="008F2335"/>
    <w:rsid w:val="008F2D13"/>
    <w:rsid w:val="008F31F2"/>
    <w:rsid w:val="008F33A9"/>
    <w:rsid w:val="008F33B5"/>
    <w:rsid w:val="008F37B7"/>
    <w:rsid w:val="008F481A"/>
    <w:rsid w:val="008F48D6"/>
    <w:rsid w:val="008F5288"/>
    <w:rsid w:val="008F6490"/>
    <w:rsid w:val="008F6E0A"/>
    <w:rsid w:val="008F6E2E"/>
    <w:rsid w:val="008F7551"/>
    <w:rsid w:val="009002CF"/>
    <w:rsid w:val="00900554"/>
    <w:rsid w:val="0090058F"/>
    <w:rsid w:val="00900D37"/>
    <w:rsid w:val="009018A5"/>
    <w:rsid w:val="00901F5A"/>
    <w:rsid w:val="00902186"/>
    <w:rsid w:val="00902745"/>
    <w:rsid w:val="009033BA"/>
    <w:rsid w:val="00904983"/>
    <w:rsid w:val="009049CE"/>
    <w:rsid w:val="00904E0B"/>
    <w:rsid w:val="00905013"/>
    <w:rsid w:val="0090586F"/>
    <w:rsid w:val="00905D1E"/>
    <w:rsid w:val="00906799"/>
    <w:rsid w:val="00906C40"/>
    <w:rsid w:val="009103D6"/>
    <w:rsid w:val="0091178A"/>
    <w:rsid w:val="009121F7"/>
    <w:rsid w:val="0091222A"/>
    <w:rsid w:val="00912A13"/>
    <w:rsid w:val="00913951"/>
    <w:rsid w:val="00913ECD"/>
    <w:rsid w:val="0091458C"/>
    <w:rsid w:val="009145B6"/>
    <w:rsid w:val="00915D2A"/>
    <w:rsid w:val="009166F3"/>
    <w:rsid w:val="009168C4"/>
    <w:rsid w:val="00916A4A"/>
    <w:rsid w:val="00917BA4"/>
    <w:rsid w:val="00921944"/>
    <w:rsid w:val="00922193"/>
    <w:rsid w:val="00922B94"/>
    <w:rsid w:val="00923717"/>
    <w:rsid w:val="00924152"/>
    <w:rsid w:val="009257E1"/>
    <w:rsid w:val="00925E3B"/>
    <w:rsid w:val="0092633B"/>
    <w:rsid w:val="0092652F"/>
    <w:rsid w:val="00927316"/>
    <w:rsid w:val="00927389"/>
    <w:rsid w:val="009311D1"/>
    <w:rsid w:val="0093154E"/>
    <w:rsid w:val="009315C6"/>
    <w:rsid w:val="0093194D"/>
    <w:rsid w:val="009320C4"/>
    <w:rsid w:val="00932130"/>
    <w:rsid w:val="0093223C"/>
    <w:rsid w:val="009322B5"/>
    <w:rsid w:val="00932958"/>
    <w:rsid w:val="00933C33"/>
    <w:rsid w:val="0093418B"/>
    <w:rsid w:val="00934B4F"/>
    <w:rsid w:val="00934C3F"/>
    <w:rsid w:val="00934F0E"/>
    <w:rsid w:val="00934F87"/>
    <w:rsid w:val="00936539"/>
    <w:rsid w:val="009376EE"/>
    <w:rsid w:val="009408BC"/>
    <w:rsid w:val="0094132A"/>
    <w:rsid w:val="009417AE"/>
    <w:rsid w:val="00941B1E"/>
    <w:rsid w:val="00942B03"/>
    <w:rsid w:val="0094322F"/>
    <w:rsid w:val="00944A83"/>
    <w:rsid w:val="00944ECC"/>
    <w:rsid w:val="00945B3F"/>
    <w:rsid w:val="009463DB"/>
    <w:rsid w:val="00946658"/>
    <w:rsid w:val="00946CAB"/>
    <w:rsid w:val="00950603"/>
    <w:rsid w:val="00950DCB"/>
    <w:rsid w:val="009517FC"/>
    <w:rsid w:val="00951DC5"/>
    <w:rsid w:val="00952479"/>
    <w:rsid w:val="0095247C"/>
    <w:rsid w:val="00952825"/>
    <w:rsid w:val="00952D4C"/>
    <w:rsid w:val="00953219"/>
    <w:rsid w:val="009535B4"/>
    <w:rsid w:val="00953928"/>
    <w:rsid w:val="00954184"/>
    <w:rsid w:val="00954901"/>
    <w:rsid w:val="00954EFA"/>
    <w:rsid w:val="009552BB"/>
    <w:rsid w:val="00955C7D"/>
    <w:rsid w:val="00956D6C"/>
    <w:rsid w:val="00960246"/>
    <w:rsid w:val="00960628"/>
    <w:rsid w:val="00960957"/>
    <w:rsid w:val="00961CE6"/>
    <w:rsid w:val="009624E4"/>
    <w:rsid w:val="009635F4"/>
    <w:rsid w:val="00963D17"/>
    <w:rsid w:val="0096456B"/>
    <w:rsid w:val="0096512E"/>
    <w:rsid w:val="00965437"/>
    <w:rsid w:val="00965C0D"/>
    <w:rsid w:val="00966747"/>
    <w:rsid w:val="009669ED"/>
    <w:rsid w:val="00966A86"/>
    <w:rsid w:val="009670C7"/>
    <w:rsid w:val="00967F30"/>
    <w:rsid w:val="00967FB2"/>
    <w:rsid w:val="00970085"/>
    <w:rsid w:val="00970878"/>
    <w:rsid w:val="0097162F"/>
    <w:rsid w:val="00971B56"/>
    <w:rsid w:val="009720E1"/>
    <w:rsid w:val="00972490"/>
    <w:rsid w:val="0097297B"/>
    <w:rsid w:val="009729AE"/>
    <w:rsid w:val="0097328F"/>
    <w:rsid w:val="00974F0E"/>
    <w:rsid w:val="00975CD7"/>
    <w:rsid w:val="00976257"/>
    <w:rsid w:val="00976A0A"/>
    <w:rsid w:val="00976DF3"/>
    <w:rsid w:val="0097755B"/>
    <w:rsid w:val="0097789B"/>
    <w:rsid w:val="00977B13"/>
    <w:rsid w:val="00977B43"/>
    <w:rsid w:val="00977BEC"/>
    <w:rsid w:val="009802B7"/>
    <w:rsid w:val="009818A2"/>
    <w:rsid w:val="00981AD1"/>
    <w:rsid w:val="00981BE1"/>
    <w:rsid w:val="009820EC"/>
    <w:rsid w:val="009823F7"/>
    <w:rsid w:val="00982D81"/>
    <w:rsid w:val="0098377A"/>
    <w:rsid w:val="00983DB0"/>
    <w:rsid w:val="00984C06"/>
    <w:rsid w:val="009859AF"/>
    <w:rsid w:val="00985E70"/>
    <w:rsid w:val="00985FFE"/>
    <w:rsid w:val="009875DF"/>
    <w:rsid w:val="009876D1"/>
    <w:rsid w:val="00987FA3"/>
    <w:rsid w:val="0099098B"/>
    <w:rsid w:val="00991777"/>
    <w:rsid w:val="009922BD"/>
    <w:rsid w:val="00992451"/>
    <w:rsid w:val="009929A8"/>
    <w:rsid w:val="00992CD5"/>
    <w:rsid w:val="00992E9D"/>
    <w:rsid w:val="009933A4"/>
    <w:rsid w:val="00994114"/>
    <w:rsid w:val="0099450E"/>
    <w:rsid w:val="00994A26"/>
    <w:rsid w:val="00994F28"/>
    <w:rsid w:val="009951DA"/>
    <w:rsid w:val="009961F8"/>
    <w:rsid w:val="00996CF2"/>
    <w:rsid w:val="00996D48"/>
    <w:rsid w:val="00996EC2"/>
    <w:rsid w:val="009972BC"/>
    <w:rsid w:val="0099795D"/>
    <w:rsid w:val="009979F4"/>
    <w:rsid w:val="00997A5B"/>
    <w:rsid w:val="009A00F7"/>
    <w:rsid w:val="009A0683"/>
    <w:rsid w:val="009A09DF"/>
    <w:rsid w:val="009A1FCC"/>
    <w:rsid w:val="009A2671"/>
    <w:rsid w:val="009A2F8F"/>
    <w:rsid w:val="009A3FE3"/>
    <w:rsid w:val="009A45B2"/>
    <w:rsid w:val="009A4C6B"/>
    <w:rsid w:val="009A4D51"/>
    <w:rsid w:val="009A5585"/>
    <w:rsid w:val="009A55E0"/>
    <w:rsid w:val="009A562E"/>
    <w:rsid w:val="009A5826"/>
    <w:rsid w:val="009A59D5"/>
    <w:rsid w:val="009A6194"/>
    <w:rsid w:val="009A64C3"/>
    <w:rsid w:val="009A737A"/>
    <w:rsid w:val="009A7772"/>
    <w:rsid w:val="009A77BF"/>
    <w:rsid w:val="009A7D3D"/>
    <w:rsid w:val="009B031D"/>
    <w:rsid w:val="009B0E15"/>
    <w:rsid w:val="009B1190"/>
    <w:rsid w:val="009B128D"/>
    <w:rsid w:val="009B1677"/>
    <w:rsid w:val="009B2597"/>
    <w:rsid w:val="009B3527"/>
    <w:rsid w:val="009B3AD3"/>
    <w:rsid w:val="009B3FEB"/>
    <w:rsid w:val="009B4428"/>
    <w:rsid w:val="009B4429"/>
    <w:rsid w:val="009B4762"/>
    <w:rsid w:val="009B4A6B"/>
    <w:rsid w:val="009B5898"/>
    <w:rsid w:val="009B5A18"/>
    <w:rsid w:val="009B5A76"/>
    <w:rsid w:val="009B73FE"/>
    <w:rsid w:val="009B77DB"/>
    <w:rsid w:val="009B7AB4"/>
    <w:rsid w:val="009B7F53"/>
    <w:rsid w:val="009C00F0"/>
    <w:rsid w:val="009C022E"/>
    <w:rsid w:val="009C0325"/>
    <w:rsid w:val="009C07F4"/>
    <w:rsid w:val="009C2771"/>
    <w:rsid w:val="009C35F4"/>
    <w:rsid w:val="009C3D16"/>
    <w:rsid w:val="009C432E"/>
    <w:rsid w:val="009C56A5"/>
    <w:rsid w:val="009C5E30"/>
    <w:rsid w:val="009C7412"/>
    <w:rsid w:val="009D03A1"/>
    <w:rsid w:val="009D095D"/>
    <w:rsid w:val="009D1D39"/>
    <w:rsid w:val="009D20AA"/>
    <w:rsid w:val="009D250B"/>
    <w:rsid w:val="009D28A6"/>
    <w:rsid w:val="009D2DDD"/>
    <w:rsid w:val="009D38BA"/>
    <w:rsid w:val="009D4C17"/>
    <w:rsid w:val="009D6348"/>
    <w:rsid w:val="009D6636"/>
    <w:rsid w:val="009D6DDF"/>
    <w:rsid w:val="009D70A0"/>
    <w:rsid w:val="009D70D5"/>
    <w:rsid w:val="009D7358"/>
    <w:rsid w:val="009E0E19"/>
    <w:rsid w:val="009E15DD"/>
    <w:rsid w:val="009E1866"/>
    <w:rsid w:val="009E2B10"/>
    <w:rsid w:val="009E33BD"/>
    <w:rsid w:val="009E3575"/>
    <w:rsid w:val="009E37FF"/>
    <w:rsid w:val="009E3981"/>
    <w:rsid w:val="009E4327"/>
    <w:rsid w:val="009E438C"/>
    <w:rsid w:val="009E5F1D"/>
    <w:rsid w:val="009E60FE"/>
    <w:rsid w:val="009F0011"/>
    <w:rsid w:val="009F07D9"/>
    <w:rsid w:val="009F1B06"/>
    <w:rsid w:val="009F1DF1"/>
    <w:rsid w:val="009F3380"/>
    <w:rsid w:val="009F3AD1"/>
    <w:rsid w:val="009F3F8C"/>
    <w:rsid w:val="009F4B3C"/>
    <w:rsid w:val="009F54F4"/>
    <w:rsid w:val="009F5757"/>
    <w:rsid w:val="009F5DFA"/>
    <w:rsid w:val="009F6281"/>
    <w:rsid w:val="009F6C75"/>
    <w:rsid w:val="009F6CA7"/>
    <w:rsid w:val="009F772E"/>
    <w:rsid w:val="00A009F4"/>
    <w:rsid w:val="00A00F55"/>
    <w:rsid w:val="00A019C7"/>
    <w:rsid w:val="00A028D3"/>
    <w:rsid w:val="00A02F71"/>
    <w:rsid w:val="00A03393"/>
    <w:rsid w:val="00A04251"/>
    <w:rsid w:val="00A05732"/>
    <w:rsid w:val="00A05E1F"/>
    <w:rsid w:val="00A060B2"/>
    <w:rsid w:val="00A06A7C"/>
    <w:rsid w:val="00A06D7E"/>
    <w:rsid w:val="00A07571"/>
    <w:rsid w:val="00A1014B"/>
    <w:rsid w:val="00A10C5A"/>
    <w:rsid w:val="00A10DA6"/>
    <w:rsid w:val="00A12295"/>
    <w:rsid w:val="00A12569"/>
    <w:rsid w:val="00A135EA"/>
    <w:rsid w:val="00A13AC3"/>
    <w:rsid w:val="00A14284"/>
    <w:rsid w:val="00A147CF"/>
    <w:rsid w:val="00A14AC2"/>
    <w:rsid w:val="00A151E9"/>
    <w:rsid w:val="00A15B2F"/>
    <w:rsid w:val="00A15DBB"/>
    <w:rsid w:val="00A161AD"/>
    <w:rsid w:val="00A16270"/>
    <w:rsid w:val="00A17E93"/>
    <w:rsid w:val="00A21057"/>
    <w:rsid w:val="00A21849"/>
    <w:rsid w:val="00A2200F"/>
    <w:rsid w:val="00A22010"/>
    <w:rsid w:val="00A2395C"/>
    <w:rsid w:val="00A24890"/>
    <w:rsid w:val="00A25242"/>
    <w:rsid w:val="00A25496"/>
    <w:rsid w:val="00A259F2"/>
    <w:rsid w:val="00A25A67"/>
    <w:rsid w:val="00A25F5A"/>
    <w:rsid w:val="00A306EB"/>
    <w:rsid w:val="00A30AD1"/>
    <w:rsid w:val="00A30D4B"/>
    <w:rsid w:val="00A32799"/>
    <w:rsid w:val="00A32973"/>
    <w:rsid w:val="00A33270"/>
    <w:rsid w:val="00A33802"/>
    <w:rsid w:val="00A3427B"/>
    <w:rsid w:val="00A35E96"/>
    <w:rsid w:val="00A36029"/>
    <w:rsid w:val="00A36075"/>
    <w:rsid w:val="00A36684"/>
    <w:rsid w:val="00A369AB"/>
    <w:rsid w:val="00A36C03"/>
    <w:rsid w:val="00A37162"/>
    <w:rsid w:val="00A37E51"/>
    <w:rsid w:val="00A406B2"/>
    <w:rsid w:val="00A407DC"/>
    <w:rsid w:val="00A40D6D"/>
    <w:rsid w:val="00A419EF"/>
    <w:rsid w:val="00A41F8C"/>
    <w:rsid w:val="00A4290B"/>
    <w:rsid w:val="00A44049"/>
    <w:rsid w:val="00A44273"/>
    <w:rsid w:val="00A447A9"/>
    <w:rsid w:val="00A448CB"/>
    <w:rsid w:val="00A453C4"/>
    <w:rsid w:val="00A45DC1"/>
    <w:rsid w:val="00A462A9"/>
    <w:rsid w:val="00A46607"/>
    <w:rsid w:val="00A47264"/>
    <w:rsid w:val="00A4765B"/>
    <w:rsid w:val="00A47A1A"/>
    <w:rsid w:val="00A51802"/>
    <w:rsid w:val="00A521A3"/>
    <w:rsid w:val="00A53690"/>
    <w:rsid w:val="00A53A8E"/>
    <w:rsid w:val="00A53FB0"/>
    <w:rsid w:val="00A53FF3"/>
    <w:rsid w:val="00A54047"/>
    <w:rsid w:val="00A54710"/>
    <w:rsid w:val="00A55439"/>
    <w:rsid w:val="00A55CB7"/>
    <w:rsid w:val="00A5602B"/>
    <w:rsid w:val="00A564A3"/>
    <w:rsid w:val="00A56730"/>
    <w:rsid w:val="00A5703A"/>
    <w:rsid w:val="00A5708F"/>
    <w:rsid w:val="00A571BC"/>
    <w:rsid w:val="00A572F4"/>
    <w:rsid w:val="00A57CA9"/>
    <w:rsid w:val="00A6169B"/>
    <w:rsid w:val="00A61A40"/>
    <w:rsid w:val="00A61E2E"/>
    <w:rsid w:val="00A624AB"/>
    <w:rsid w:val="00A62684"/>
    <w:rsid w:val="00A6278A"/>
    <w:rsid w:val="00A62D31"/>
    <w:rsid w:val="00A62D41"/>
    <w:rsid w:val="00A62E78"/>
    <w:rsid w:val="00A63380"/>
    <w:rsid w:val="00A63A06"/>
    <w:rsid w:val="00A644AD"/>
    <w:rsid w:val="00A65313"/>
    <w:rsid w:val="00A662E3"/>
    <w:rsid w:val="00A66678"/>
    <w:rsid w:val="00A667FA"/>
    <w:rsid w:val="00A66A29"/>
    <w:rsid w:val="00A66AA5"/>
    <w:rsid w:val="00A70349"/>
    <w:rsid w:val="00A7034F"/>
    <w:rsid w:val="00A70701"/>
    <w:rsid w:val="00A72752"/>
    <w:rsid w:val="00A72B48"/>
    <w:rsid w:val="00A73016"/>
    <w:rsid w:val="00A7331F"/>
    <w:rsid w:val="00A73494"/>
    <w:rsid w:val="00A73C07"/>
    <w:rsid w:val="00A73FFB"/>
    <w:rsid w:val="00A7501A"/>
    <w:rsid w:val="00A75063"/>
    <w:rsid w:val="00A75EAE"/>
    <w:rsid w:val="00A7692E"/>
    <w:rsid w:val="00A76B4F"/>
    <w:rsid w:val="00A77A0B"/>
    <w:rsid w:val="00A77B45"/>
    <w:rsid w:val="00A80A4C"/>
    <w:rsid w:val="00A81C56"/>
    <w:rsid w:val="00A8231F"/>
    <w:rsid w:val="00A829B4"/>
    <w:rsid w:val="00A8430F"/>
    <w:rsid w:val="00A84D3E"/>
    <w:rsid w:val="00A85FF2"/>
    <w:rsid w:val="00A86270"/>
    <w:rsid w:val="00A865C7"/>
    <w:rsid w:val="00A867E6"/>
    <w:rsid w:val="00A86F91"/>
    <w:rsid w:val="00A9079C"/>
    <w:rsid w:val="00A911C6"/>
    <w:rsid w:val="00A91638"/>
    <w:rsid w:val="00A9217A"/>
    <w:rsid w:val="00A92337"/>
    <w:rsid w:val="00A92D73"/>
    <w:rsid w:val="00A9344B"/>
    <w:rsid w:val="00A95AE5"/>
    <w:rsid w:val="00A95E74"/>
    <w:rsid w:val="00A97E3B"/>
    <w:rsid w:val="00AA05A6"/>
    <w:rsid w:val="00AA14A1"/>
    <w:rsid w:val="00AA20A1"/>
    <w:rsid w:val="00AA228B"/>
    <w:rsid w:val="00AA24F2"/>
    <w:rsid w:val="00AA29DF"/>
    <w:rsid w:val="00AA321F"/>
    <w:rsid w:val="00AA349F"/>
    <w:rsid w:val="00AA3A38"/>
    <w:rsid w:val="00AA41F2"/>
    <w:rsid w:val="00AA47C4"/>
    <w:rsid w:val="00AA4864"/>
    <w:rsid w:val="00AA5C0B"/>
    <w:rsid w:val="00AB0257"/>
    <w:rsid w:val="00AB039E"/>
    <w:rsid w:val="00AB0C63"/>
    <w:rsid w:val="00AB20A8"/>
    <w:rsid w:val="00AB210F"/>
    <w:rsid w:val="00AB2D18"/>
    <w:rsid w:val="00AB37BB"/>
    <w:rsid w:val="00AB38CA"/>
    <w:rsid w:val="00AB3CD1"/>
    <w:rsid w:val="00AB3EF3"/>
    <w:rsid w:val="00AB4206"/>
    <w:rsid w:val="00AB4DF7"/>
    <w:rsid w:val="00AB5432"/>
    <w:rsid w:val="00AB5A73"/>
    <w:rsid w:val="00AB5D91"/>
    <w:rsid w:val="00AB62B7"/>
    <w:rsid w:val="00AB71FD"/>
    <w:rsid w:val="00AB734A"/>
    <w:rsid w:val="00AB7646"/>
    <w:rsid w:val="00AB7D00"/>
    <w:rsid w:val="00AC015D"/>
    <w:rsid w:val="00AC017D"/>
    <w:rsid w:val="00AC0BCD"/>
    <w:rsid w:val="00AC0D17"/>
    <w:rsid w:val="00AC1082"/>
    <w:rsid w:val="00AC1A4B"/>
    <w:rsid w:val="00AC1D9A"/>
    <w:rsid w:val="00AC1ECB"/>
    <w:rsid w:val="00AC1FAF"/>
    <w:rsid w:val="00AC244C"/>
    <w:rsid w:val="00AC29BE"/>
    <w:rsid w:val="00AC2E70"/>
    <w:rsid w:val="00AC3926"/>
    <w:rsid w:val="00AC494B"/>
    <w:rsid w:val="00AC59D9"/>
    <w:rsid w:val="00AC5B83"/>
    <w:rsid w:val="00AC5B91"/>
    <w:rsid w:val="00AC5FB0"/>
    <w:rsid w:val="00AC66F1"/>
    <w:rsid w:val="00AC6A0F"/>
    <w:rsid w:val="00AC6D99"/>
    <w:rsid w:val="00AC7E54"/>
    <w:rsid w:val="00AC7E8C"/>
    <w:rsid w:val="00AD129F"/>
    <w:rsid w:val="00AD12E9"/>
    <w:rsid w:val="00AD215C"/>
    <w:rsid w:val="00AD2473"/>
    <w:rsid w:val="00AD27A8"/>
    <w:rsid w:val="00AD37FC"/>
    <w:rsid w:val="00AD3A24"/>
    <w:rsid w:val="00AD4C45"/>
    <w:rsid w:val="00AD4D3A"/>
    <w:rsid w:val="00AD527A"/>
    <w:rsid w:val="00AD604F"/>
    <w:rsid w:val="00AD7128"/>
    <w:rsid w:val="00AE0669"/>
    <w:rsid w:val="00AE087B"/>
    <w:rsid w:val="00AE09D9"/>
    <w:rsid w:val="00AE13AF"/>
    <w:rsid w:val="00AE16ED"/>
    <w:rsid w:val="00AE2092"/>
    <w:rsid w:val="00AE2C8A"/>
    <w:rsid w:val="00AE2CBF"/>
    <w:rsid w:val="00AE323B"/>
    <w:rsid w:val="00AE3A7C"/>
    <w:rsid w:val="00AE3E33"/>
    <w:rsid w:val="00AE4D74"/>
    <w:rsid w:val="00AE5C05"/>
    <w:rsid w:val="00AE5C91"/>
    <w:rsid w:val="00AE6662"/>
    <w:rsid w:val="00AE6A4E"/>
    <w:rsid w:val="00AE72FB"/>
    <w:rsid w:val="00AE7B98"/>
    <w:rsid w:val="00AF0254"/>
    <w:rsid w:val="00AF085B"/>
    <w:rsid w:val="00AF0BA8"/>
    <w:rsid w:val="00AF0FA4"/>
    <w:rsid w:val="00AF1175"/>
    <w:rsid w:val="00AF129F"/>
    <w:rsid w:val="00AF2099"/>
    <w:rsid w:val="00AF313C"/>
    <w:rsid w:val="00AF4F29"/>
    <w:rsid w:val="00B003C1"/>
    <w:rsid w:val="00B00AD4"/>
    <w:rsid w:val="00B01015"/>
    <w:rsid w:val="00B0245C"/>
    <w:rsid w:val="00B02E38"/>
    <w:rsid w:val="00B03141"/>
    <w:rsid w:val="00B03642"/>
    <w:rsid w:val="00B03763"/>
    <w:rsid w:val="00B041EA"/>
    <w:rsid w:val="00B07291"/>
    <w:rsid w:val="00B103C8"/>
    <w:rsid w:val="00B10769"/>
    <w:rsid w:val="00B1096E"/>
    <w:rsid w:val="00B11FA0"/>
    <w:rsid w:val="00B11FFE"/>
    <w:rsid w:val="00B12DC9"/>
    <w:rsid w:val="00B1387B"/>
    <w:rsid w:val="00B13F84"/>
    <w:rsid w:val="00B14604"/>
    <w:rsid w:val="00B15ABA"/>
    <w:rsid w:val="00B15E4E"/>
    <w:rsid w:val="00B160A5"/>
    <w:rsid w:val="00B1683B"/>
    <w:rsid w:val="00B168CE"/>
    <w:rsid w:val="00B16EFA"/>
    <w:rsid w:val="00B170B8"/>
    <w:rsid w:val="00B17215"/>
    <w:rsid w:val="00B17228"/>
    <w:rsid w:val="00B1799A"/>
    <w:rsid w:val="00B179BE"/>
    <w:rsid w:val="00B17C66"/>
    <w:rsid w:val="00B20F33"/>
    <w:rsid w:val="00B21D9B"/>
    <w:rsid w:val="00B2364C"/>
    <w:rsid w:val="00B236CD"/>
    <w:rsid w:val="00B23780"/>
    <w:rsid w:val="00B25A72"/>
    <w:rsid w:val="00B26381"/>
    <w:rsid w:val="00B2638B"/>
    <w:rsid w:val="00B269A9"/>
    <w:rsid w:val="00B26D93"/>
    <w:rsid w:val="00B274F1"/>
    <w:rsid w:val="00B2799E"/>
    <w:rsid w:val="00B30116"/>
    <w:rsid w:val="00B30B3E"/>
    <w:rsid w:val="00B30BB1"/>
    <w:rsid w:val="00B31016"/>
    <w:rsid w:val="00B315C2"/>
    <w:rsid w:val="00B31816"/>
    <w:rsid w:val="00B32EA7"/>
    <w:rsid w:val="00B34339"/>
    <w:rsid w:val="00B34B80"/>
    <w:rsid w:val="00B34C85"/>
    <w:rsid w:val="00B361E3"/>
    <w:rsid w:val="00B36342"/>
    <w:rsid w:val="00B369DF"/>
    <w:rsid w:val="00B378DD"/>
    <w:rsid w:val="00B37E93"/>
    <w:rsid w:val="00B37F14"/>
    <w:rsid w:val="00B409A5"/>
    <w:rsid w:val="00B414B7"/>
    <w:rsid w:val="00B415D2"/>
    <w:rsid w:val="00B42070"/>
    <w:rsid w:val="00B42B2F"/>
    <w:rsid w:val="00B42D4F"/>
    <w:rsid w:val="00B43096"/>
    <w:rsid w:val="00B4310E"/>
    <w:rsid w:val="00B43DDB"/>
    <w:rsid w:val="00B44900"/>
    <w:rsid w:val="00B44A2D"/>
    <w:rsid w:val="00B4501D"/>
    <w:rsid w:val="00B46471"/>
    <w:rsid w:val="00B472E1"/>
    <w:rsid w:val="00B479CD"/>
    <w:rsid w:val="00B5020B"/>
    <w:rsid w:val="00B50618"/>
    <w:rsid w:val="00B5126D"/>
    <w:rsid w:val="00B52548"/>
    <w:rsid w:val="00B52811"/>
    <w:rsid w:val="00B52821"/>
    <w:rsid w:val="00B52B1E"/>
    <w:rsid w:val="00B52DE0"/>
    <w:rsid w:val="00B53E40"/>
    <w:rsid w:val="00B5411D"/>
    <w:rsid w:val="00B550AE"/>
    <w:rsid w:val="00B55368"/>
    <w:rsid w:val="00B55839"/>
    <w:rsid w:val="00B564EA"/>
    <w:rsid w:val="00B56979"/>
    <w:rsid w:val="00B60348"/>
    <w:rsid w:val="00B60465"/>
    <w:rsid w:val="00B60D61"/>
    <w:rsid w:val="00B6178E"/>
    <w:rsid w:val="00B61C79"/>
    <w:rsid w:val="00B61D9C"/>
    <w:rsid w:val="00B61EE6"/>
    <w:rsid w:val="00B6209C"/>
    <w:rsid w:val="00B62743"/>
    <w:rsid w:val="00B62CFA"/>
    <w:rsid w:val="00B631EA"/>
    <w:rsid w:val="00B64A98"/>
    <w:rsid w:val="00B64F33"/>
    <w:rsid w:val="00B65323"/>
    <w:rsid w:val="00B656C2"/>
    <w:rsid w:val="00B65B69"/>
    <w:rsid w:val="00B66504"/>
    <w:rsid w:val="00B701AF"/>
    <w:rsid w:val="00B707FC"/>
    <w:rsid w:val="00B70CAD"/>
    <w:rsid w:val="00B71170"/>
    <w:rsid w:val="00B724BE"/>
    <w:rsid w:val="00B72C9C"/>
    <w:rsid w:val="00B7374A"/>
    <w:rsid w:val="00B73C0B"/>
    <w:rsid w:val="00B74124"/>
    <w:rsid w:val="00B74DAD"/>
    <w:rsid w:val="00B752E7"/>
    <w:rsid w:val="00B75A0E"/>
    <w:rsid w:val="00B75A9B"/>
    <w:rsid w:val="00B75B18"/>
    <w:rsid w:val="00B75C63"/>
    <w:rsid w:val="00B75F9D"/>
    <w:rsid w:val="00B768F8"/>
    <w:rsid w:val="00B76DC4"/>
    <w:rsid w:val="00B770CE"/>
    <w:rsid w:val="00B771D2"/>
    <w:rsid w:val="00B777E5"/>
    <w:rsid w:val="00B77C53"/>
    <w:rsid w:val="00B80BCE"/>
    <w:rsid w:val="00B8136E"/>
    <w:rsid w:val="00B8137D"/>
    <w:rsid w:val="00B81524"/>
    <w:rsid w:val="00B816E8"/>
    <w:rsid w:val="00B81740"/>
    <w:rsid w:val="00B818CD"/>
    <w:rsid w:val="00B828CD"/>
    <w:rsid w:val="00B832F6"/>
    <w:rsid w:val="00B83A8F"/>
    <w:rsid w:val="00B84236"/>
    <w:rsid w:val="00B84DFB"/>
    <w:rsid w:val="00B85698"/>
    <w:rsid w:val="00B85BC0"/>
    <w:rsid w:val="00B85D7B"/>
    <w:rsid w:val="00B85DFB"/>
    <w:rsid w:val="00B865F6"/>
    <w:rsid w:val="00B87112"/>
    <w:rsid w:val="00B871E6"/>
    <w:rsid w:val="00B8781D"/>
    <w:rsid w:val="00B879B5"/>
    <w:rsid w:val="00B900EA"/>
    <w:rsid w:val="00B90AEC"/>
    <w:rsid w:val="00B90C26"/>
    <w:rsid w:val="00B91069"/>
    <w:rsid w:val="00B92383"/>
    <w:rsid w:val="00B926A9"/>
    <w:rsid w:val="00B926E6"/>
    <w:rsid w:val="00B92778"/>
    <w:rsid w:val="00B92842"/>
    <w:rsid w:val="00B963D3"/>
    <w:rsid w:val="00B96C9A"/>
    <w:rsid w:val="00B97317"/>
    <w:rsid w:val="00B97C46"/>
    <w:rsid w:val="00B97E1E"/>
    <w:rsid w:val="00B97EBE"/>
    <w:rsid w:val="00B97F55"/>
    <w:rsid w:val="00BA06CF"/>
    <w:rsid w:val="00BA126E"/>
    <w:rsid w:val="00BA189A"/>
    <w:rsid w:val="00BA2713"/>
    <w:rsid w:val="00BA276F"/>
    <w:rsid w:val="00BA2941"/>
    <w:rsid w:val="00BA2AC6"/>
    <w:rsid w:val="00BA2C8B"/>
    <w:rsid w:val="00BA2CC7"/>
    <w:rsid w:val="00BA2DAA"/>
    <w:rsid w:val="00BA3335"/>
    <w:rsid w:val="00BA4C61"/>
    <w:rsid w:val="00BA4D28"/>
    <w:rsid w:val="00BA539B"/>
    <w:rsid w:val="00BA555A"/>
    <w:rsid w:val="00BA558A"/>
    <w:rsid w:val="00BA5858"/>
    <w:rsid w:val="00BA627A"/>
    <w:rsid w:val="00BA678E"/>
    <w:rsid w:val="00BA7196"/>
    <w:rsid w:val="00BA7379"/>
    <w:rsid w:val="00BB074A"/>
    <w:rsid w:val="00BB0B8A"/>
    <w:rsid w:val="00BB14F4"/>
    <w:rsid w:val="00BB22FA"/>
    <w:rsid w:val="00BB2399"/>
    <w:rsid w:val="00BB2447"/>
    <w:rsid w:val="00BB379D"/>
    <w:rsid w:val="00BB3B1A"/>
    <w:rsid w:val="00BB416A"/>
    <w:rsid w:val="00BB463C"/>
    <w:rsid w:val="00BB5544"/>
    <w:rsid w:val="00BB6114"/>
    <w:rsid w:val="00BB6193"/>
    <w:rsid w:val="00BB6329"/>
    <w:rsid w:val="00BB76AD"/>
    <w:rsid w:val="00BC03C8"/>
    <w:rsid w:val="00BC0CDA"/>
    <w:rsid w:val="00BC0EEC"/>
    <w:rsid w:val="00BC1A30"/>
    <w:rsid w:val="00BC245B"/>
    <w:rsid w:val="00BC3431"/>
    <w:rsid w:val="00BC5D26"/>
    <w:rsid w:val="00BC7287"/>
    <w:rsid w:val="00BD01A9"/>
    <w:rsid w:val="00BD12A1"/>
    <w:rsid w:val="00BD1663"/>
    <w:rsid w:val="00BD2B21"/>
    <w:rsid w:val="00BD2C05"/>
    <w:rsid w:val="00BD3106"/>
    <w:rsid w:val="00BD329B"/>
    <w:rsid w:val="00BD4506"/>
    <w:rsid w:val="00BD5389"/>
    <w:rsid w:val="00BD5D86"/>
    <w:rsid w:val="00BD62A9"/>
    <w:rsid w:val="00BD634E"/>
    <w:rsid w:val="00BD65EA"/>
    <w:rsid w:val="00BD7196"/>
    <w:rsid w:val="00BD7B83"/>
    <w:rsid w:val="00BE0BF7"/>
    <w:rsid w:val="00BE1658"/>
    <w:rsid w:val="00BE1C0A"/>
    <w:rsid w:val="00BE365E"/>
    <w:rsid w:val="00BE36ED"/>
    <w:rsid w:val="00BE3A2F"/>
    <w:rsid w:val="00BE3ABD"/>
    <w:rsid w:val="00BE4580"/>
    <w:rsid w:val="00BE4F41"/>
    <w:rsid w:val="00BE5E92"/>
    <w:rsid w:val="00BE7A59"/>
    <w:rsid w:val="00BF0D8C"/>
    <w:rsid w:val="00BF1068"/>
    <w:rsid w:val="00BF17C6"/>
    <w:rsid w:val="00BF1917"/>
    <w:rsid w:val="00BF1A63"/>
    <w:rsid w:val="00BF29DA"/>
    <w:rsid w:val="00BF2B4E"/>
    <w:rsid w:val="00BF37EA"/>
    <w:rsid w:val="00BF3F63"/>
    <w:rsid w:val="00BF4B94"/>
    <w:rsid w:val="00BF52F9"/>
    <w:rsid w:val="00BF58B3"/>
    <w:rsid w:val="00BF7150"/>
    <w:rsid w:val="00BF78E7"/>
    <w:rsid w:val="00C00DD8"/>
    <w:rsid w:val="00C00FDA"/>
    <w:rsid w:val="00C018C1"/>
    <w:rsid w:val="00C01E47"/>
    <w:rsid w:val="00C0283B"/>
    <w:rsid w:val="00C02EB9"/>
    <w:rsid w:val="00C035A3"/>
    <w:rsid w:val="00C039E1"/>
    <w:rsid w:val="00C042B4"/>
    <w:rsid w:val="00C0434D"/>
    <w:rsid w:val="00C04E4B"/>
    <w:rsid w:val="00C04FD2"/>
    <w:rsid w:val="00C0508C"/>
    <w:rsid w:val="00C05150"/>
    <w:rsid w:val="00C05D89"/>
    <w:rsid w:val="00C06AAE"/>
    <w:rsid w:val="00C07390"/>
    <w:rsid w:val="00C076C9"/>
    <w:rsid w:val="00C07B18"/>
    <w:rsid w:val="00C07E2D"/>
    <w:rsid w:val="00C10CA9"/>
    <w:rsid w:val="00C10CF3"/>
    <w:rsid w:val="00C10D9E"/>
    <w:rsid w:val="00C10FC2"/>
    <w:rsid w:val="00C115AB"/>
    <w:rsid w:val="00C11B56"/>
    <w:rsid w:val="00C11C61"/>
    <w:rsid w:val="00C11FB9"/>
    <w:rsid w:val="00C12750"/>
    <w:rsid w:val="00C12C37"/>
    <w:rsid w:val="00C13081"/>
    <w:rsid w:val="00C13606"/>
    <w:rsid w:val="00C13E3F"/>
    <w:rsid w:val="00C13ED6"/>
    <w:rsid w:val="00C14460"/>
    <w:rsid w:val="00C14BD8"/>
    <w:rsid w:val="00C14FB7"/>
    <w:rsid w:val="00C15A3C"/>
    <w:rsid w:val="00C15B21"/>
    <w:rsid w:val="00C15E80"/>
    <w:rsid w:val="00C16045"/>
    <w:rsid w:val="00C16251"/>
    <w:rsid w:val="00C1684B"/>
    <w:rsid w:val="00C16D72"/>
    <w:rsid w:val="00C172D9"/>
    <w:rsid w:val="00C173B1"/>
    <w:rsid w:val="00C176B0"/>
    <w:rsid w:val="00C17A67"/>
    <w:rsid w:val="00C17D06"/>
    <w:rsid w:val="00C203CA"/>
    <w:rsid w:val="00C203E4"/>
    <w:rsid w:val="00C20B0F"/>
    <w:rsid w:val="00C20EB0"/>
    <w:rsid w:val="00C21E27"/>
    <w:rsid w:val="00C226B5"/>
    <w:rsid w:val="00C22C89"/>
    <w:rsid w:val="00C22CC6"/>
    <w:rsid w:val="00C23C99"/>
    <w:rsid w:val="00C241C0"/>
    <w:rsid w:val="00C24922"/>
    <w:rsid w:val="00C24A76"/>
    <w:rsid w:val="00C25130"/>
    <w:rsid w:val="00C27F68"/>
    <w:rsid w:val="00C3045A"/>
    <w:rsid w:val="00C311F8"/>
    <w:rsid w:val="00C31B21"/>
    <w:rsid w:val="00C323BE"/>
    <w:rsid w:val="00C32609"/>
    <w:rsid w:val="00C32CE4"/>
    <w:rsid w:val="00C330BE"/>
    <w:rsid w:val="00C3381F"/>
    <w:rsid w:val="00C33854"/>
    <w:rsid w:val="00C33A5E"/>
    <w:rsid w:val="00C34881"/>
    <w:rsid w:val="00C34EB0"/>
    <w:rsid w:val="00C3521C"/>
    <w:rsid w:val="00C35353"/>
    <w:rsid w:val="00C35ABE"/>
    <w:rsid w:val="00C35AD6"/>
    <w:rsid w:val="00C35E31"/>
    <w:rsid w:val="00C37232"/>
    <w:rsid w:val="00C37245"/>
    <w:rsid w:val="00C373A2"/>
    <w:rsid w:val="00C37C83"/>
    <w:rsid w:val="00C40639"/>
    <w:rsid w:val="00C41AAE"/>
    <w:rsid w:val="00C42262"/>
    <w:rsid w:val="00C43367"/>
    <w:rsid w:val="00C43674"/>
    <w:rsid w:val="00C4371A"/>
    <w:rsid w:val="00C43BAE"/>
    <w:rsid w:val="00C46DEA"/>
    <w:rsid w:val="00C4762A"/>
    <w:rsid w:val="00C502C7"/>
    <w:rsid w:val="00C50826"/>
    <w:rsid w:val="00C50BEC"/>
    <w:rsid w:val="00C5118F"/>
    <w:rsid w:val="00C516BD"/>
    <w:rsid w:val="00C51AB7"/>
    <w:rsid w:val="00C52D47"/>
    <w:rsid w:val="00C53368"/>
    <w:rsid w:val="00C561A8"/>
    <w:rsid w:val="00C561B0"/>
    <w:rsid w:val="00C563A7"/>
    <w:rsid w:val="00C56531"/>
    <w:rsid w:val="00C5674D"/>
    <w:rsid w:val="00C57421"/>
    <w:rsid w:val="00C575FE"/>
    <w:rsid w:val="00C57900"/>
    <w:rsid w:val="00C57E0E"/>
    <w:rsid w:val="00C57E38"/>
    <w:rsid w:val="00C57E48"/>
    <w:rsid w:val="00C601F0"/>
    <w:rsid w:val="00C604D2"/>
    <w:rsid w:val="00C60827"/>
    <w:rsid w:val="00C61326"/>
    <w:rsid w:val="00C613B0"/>
    <w:rsid w:val="00C61673"/>
    <w:rsid w:val="00C62BF5"/>
    <w:rsid w:val="00C62C61"/>
    <w:rsid w:val="00C6319F"/>
    <w:rsid w:val="00C631E3"/>
    <w:rsid w:val="00C636DA"/>
    <w:rsid w:val="00C6400E"/>
    <w:rsid w:val="00C64FA9"/>
    <w:rsid w:val="00C653CD"/>
    <w:rsid w:val="00C653E2"/>
    <w:rsid w:val="00C658A2"/>
    <w:rsid w:val="00C65E42"/>
    <w:rsid w:val="00C65FED"/>
    <w:rsid w:val="00C66CFE"/>
    <w:rsid w:val="00C670EC"/>
    <w:rsid w:val="00C67483"/>
    <w:rsid w:val="00C67E22"/>
    <w:rsid w:val="00C70001"/>
    <w:rsid w:val="00C71C70"/>
    <w:rsid w:val="00C71CCC"/>
    <w:rsid w:val="00C72271"/>
    <w:rsid w:val="00C7383A"/>
    <w:rsid w:val="00C73FC2"/>
    <w:rsid w:val="00C743C5"/>
    <w:rsid w:val="00C745BC"/>
    <w:rsid w:val="00C74B20"/>
    <w:rsid w:val="00C76237"/>
    <w:rsid w:val="00C7624C"/>
    <w:rsid w:val="00C77414"/>
    <w:rsid w:val="00C800FB"/>
    <w:rsid w:val="00C81356"/>
    <w:rsid w:val="00C81B7F"/>
    <w:rsid w:val="00C8224F"/>
    <w:rsid w:val="00C824FF"/>
    <w:rsid w:val="00C82D08"/>
    <w:rsid w:val="00C83E46"/>
    <w:rsid w:val="00C84DD0"/>
    <w:rsid w:val="00C85040"/>
    <w:rsid w:val="00C852B9"/>
    <w:rsid w:val="00C85A9B"/>
    <w:rsid w:val="00C86240"/>
    <w:rsid w:val="00C86EAD"/>
    <w:rsid w:val="00C87306"/>
    <w:rsid w:val="00C8787F"/>
    <w:rsid w:val="00C87DA0"/>
    <w:rsid w:val="00C87E0C"/>
    <w:rsid w:val="00C90AEC"/>
    <w:rsid w:val="00C90D41"/>
    <w:rsid w:val="00C91787"/>
    <w:rsid w:val="00C91E85"/>
    <w:rsid w:val="00C92121"/>
    <w:rsid w:val="00C92816"/>
    <w:rsid w:val="00C92C51"/>
    <w:rsid w:val="00C92C68"/>
    <w:rsid w:val="00C9341C"/>
    <w:rsid w:val="00C9465D"/>
    <w:rsid w:val="00C95472"/>
    <w:rsid w:val="00C9580F"/>
    <w:rsid w:val="00C963EF"/>
    <w:rsid w:val="00C96674"/>
    <w:rsid w:val="00C96A92"/>
    <w:rsid w:val="00C96BE1"/>
    <w:rsid w:val="00C96D90"/>
    <w:rsid w:val="00C97DBD"/>
    <w:rsid w:val="00CA006A"/>
    <w:rsid w:val="00CA10F5"/>
    <w:rsid w:val="00CA16DD"/>
    <w:rsid w:val="00CA2095"/>
    <w:rsid w:val="00CA26C7"/>
    <w:rsid w:val="00CA2BBA"/>
    <w:rsid w:val="00CA3A7E"/>
    <w:rsid w:val="00CA3E30"/>
    <w:rsid w:val="00CA41A8"/>
    <w:rsid w:val="00CA4B27"/>
    <w:rsid w:val="00CA4D4B"/>
    <w:rsid w:val="00CA527D"/>
    <w:rsid w:val="00CA55C2"/>
    <w:rsid w:val="00CA5A68"/>
    <w:rsid w:val="00CA6129"/>
    <w:rsid w:val="00CA66D8"/>
    <w:rsid w:val="00CA6D55"/>
    <w:rsid w:val="00CA6FF9"/>
    <w:rsid w:val="00CA779F"/>
    <w:rsid w:val="00CB0A29"/>
    <w:rsid w:val="00CB0B12"/>
    <w:rsid w:val="00CB0F96"/>
    <w:rsid w:val="00CB1495"/>
    <w:rsid w:val="00CB1738"/>
    <w:rsid w:val="00CB22F6"/>
    <w:rsid w:val="00CB3955"/>
    <w:rsid w:val="00CB3ED3"/>
    <w:rsid w:val="00CB4238"/>
    <w:rsid w:val="00CB461C"/>
    <w:rsid w:val="00CB4D1C"/>
    <w:rsid w:val="00CB5470"/>
    <w:rsid w:val="00CB5938"/>
    <w:rsid w:val="00CB5E91"/>
    <w:rsid w:val="00CB6136"/>
    <w:rsid w:val="00CB6C2B"/>
    <w:rsid w:val="00CB6D54"/>
    <w:rsid w:val="00CB6FF4"/>
    <w:rsid w:val="00CB7DCB"/>
    <w:rsid w:val="00CC09BA"/>
    <w:rsid w:val="00CC159F"/>
    <w:rsid w:val="00CC19C2"/>
    <w:rsid w:val="00CC1A64"/>
    <w:rsid w:val="00CC1E6A"/>
    <w:rsid w:val="00CC31E6"/>
    <w:rsid w:val="00CC333D"/>
    <w:rsid w:val="00CC34EB"/>
    <w:rsid w:val="00CC375B"/>
    <w:rsid w:val="00CC3B54"/>
    <w:rsid w:val="00CC3E43"/>
    <w:rsid w:val="00CC447D"/>
    <w:rsid w:val="00CC44C4"/>
    <w:rsid w:val="00CC54B8"/>
    <w:rsid w:val="00CC585D"/>
    <w:rsid w:val="00CC5C54"/>
    <w:rsid w:val="00CC66EA"/>
    <w:rsid w:val="00CC673A"/>
    <w:rsid w:val="00CC6899"/>
    <w:rsid w:val="00CC6C03"/>
    <w:rsid w:val="00CC78F6"/>
    <w:rsid w:val="00CC7C2C"/>
    <w:rsid w:val="00CD035B"/>
    <w:rsid w:val="00CD09B0"/>
    <w:rsid w:val="00CD0E8A"/>
    <w:rsid w:val="00CD11AB"/>
    <w:rsid w:val="00CD289F"/>
    <w:rsid w:val="00CD2B11"/>
    <w:rsid w:val="00CD3C17"/>
    <w:rsid w:val="00CD4060"/>
    <w:rsid w:val="00CD439D"/>
    <w:rsid w:val="00CD4480"/>
    <w:rsid w:val="00CD4568"/>
    <w:rsid w:val="00CD4723"/>
    <w:rsid w:val="00CD527D"/>
    <w:rsid w:val="00CD563C"/>
    <w:rsid w:val="00CD71AE"/>
    <w:rsid w:val="00CD7638"/>
    <w:rsid w:val="00CD79CA"/>
    <w:rsid w:val="00CD7D96"/>
    <w:rsid w:val="00CE143A"/>
    <w:rsid w:val="00CE1F9C"/>
    <w:rsid w:val="00CE2146"/>
    <w:rsid w:val="00CE2E48"/>
    <w:rsid w:val="00CE48F6"/>
    <w:rsid w:val="00CE4F10"/>
    <w:rsid w:val="00CE5E3B"/>
    <w:rsid w:val="00CE6AA0"/>
    <w:rsid w:val="00CE7D99"/>
    <w:rsid w:val="00CE7E75"/>
    <w:rsid w:val="00CF0D7F"/>
    <w:rsid w:val="00CF1223"/>
    <w:rsid w:val="00CF1487"/>
    <w:rsid w:val="00CF15A6"/>
    <w:rsid w:val="00CF30BE"/>
    <w:rsid w:val="00CF4039"/>
    <w:rsid w:val="00CF4098"/>
    <w:rsid w:val="00CF414F"/>
    <w:rsid w:val="00CF529F"/>
    <w:rsid w:val="00CF5651"/>
    <w:rsid w:val="00CF5910"/>
    <w:rsid w:val="00CF6363"/>
    <w:rsid w:val="00CF6672"/>
    <w:rsid w:val="00D00189"/>
    <w:rsid w:val="00D0032A"/>
    <w:rsid w:val="00D00487"/>
    <w:rsid w:val="00D00721"/>
    <w:rsid w:val="00D021F7"/>
    <w:rsid w:val="00D0248F"/>
    <w:rsid w:val="00D027D9"/>
    <w:rsid w:val="00D03421"/>
    <w:rsid w:val="00D03845"/>
    <w:rsid w:val="00D03CAD"/>
    <w:rsid w:val="00D040A8"/>
    <w:rsid w:val="00D05240"/>
    <w:rsid w:val="00D0551A"/>
    <w:rsid w:val="00D0606F"/>
    <w:rsid w:val="00D069C7"/>
    <w:rsid w:val="00D078A2"/>
    <w:rsid w:val="00D078FF"/>
    <w:rsid w:val="00D100C2"/>
    <w:rsid w:val="00D10232"/>
    <w:rsid w:val="00D10548"/>
    <w:rsid w:val="00D1084B"/>
    <w:rsid w:val="00D113B7"/>
    <w:rsid w:val="00D12227"/>
    <w:rsid w:val="00D12666"/>
    <w:rsid w:val="00D132D2"/>
    <w:rsid w:val="00D13820"/>
    <w:rsid w:val="00D13E88"/>
    <w:rsid w:val="00D1438F"/>
    <w:rsid w:val="00D14D9B"/>
    <w:rsid w:val="00D15031"/>
    <w:rsid w:val="00D162E1"/>
    <w:rsid w:val="00D16416"/>
    <w:rsid w:val="00D1685C"/>
    <w:rsid w:val="00D20287"/>
    <w:rsid w:val="00D20417"/>
    <w:rsid w:val="00D20C2B"/>
    <w:rsid w:val="00D20E93"/>
    <w:rsid w:val="00D21123"/>
    <w:rsid w:val="00D21B34"/>
    <w:rsid w:val="00D252F9"/>
    <w:rsid w:val="00D259E5"/>
    <w:rsid w:val="00D26111"/>
    <w:rsid w:val="00D266DB"/>
    <w:rsid w:val="00D26A4E"/>
    <w:rsid w:val="00D26BB7"/>
    <w:rsid w:val="00D27AB3"/>
    <w:rsid w:val="00D27DCF"/>
    <w:rsid w:val="00D27E0C"/>
    <w:rsid w:val="00D31219"/>
    <w:rsid w:val="00D317F6"/>
    <w:rsid w:val="00D31C10"/>
    <w:rsid w:val="00D33CB8"/>
    <w:rsid w:val="00D344EB"/>
    <w:rsid w:val="00D34955"/>
    <w:rsid w:val="00D36100"/>
    <w:rsid w:val="00D367EB"/>
    <w:rsid w:val="00D37AC4"/>
    <w:rsid w:val="00D40115"/>
    <w:rsid w:val="00D41EC3"/>
    <w:rsid w:val="00D41FB0"/>
    <w:rsid w:val="00D42B4A"/>
    <w:rsid w:val="00D433C2"/>
    <w:rsid w:val="00D43592"/>
    <w:rsid w:val="00D4365C"/>
    <w:rsid w:val="00D440A7"/>
    <w:rsid w:val="00D44579"/>
    <w:rsid w:val="00D45954"/>
    <w:rsid w:val="00D461C2"/>
    <w:rsid w:val="00D465AA"/>
    <w:rsid w:val="00D468F7"/>
    <w:rsid w:val="00D46BDE"/>
    <w:rsid w:val="00D4742C"/>
    <w:rsid w:val="00D47D24"/>
    <w:rsid w:val="00D47E36"/>
    <w:rsid w:val="00D50104"/>
    <w:rsid w:val="00D501C0"/>
    <w:rsid w:val="00D509FA"/>
    <w:rsid w:val="00D50E39"/>
    <w:rsid w:val="00D510F7"/>
    <w:rsid w:val="00D515E8"/>
    <w:rsid w:val="00D523E9"/>
    <w:rsid w:val="00D5370E"/>
    <w:rsid w:val="00D53A1D"/>
    <w:rsid w:val="00D54587"/>
    <w:rsid w:val="00D55CC4"/>
    <w:rsid w:val="00D55ECC"/>
    <w:rsid w:val="00D56610"/>
    <w:rsid w:val="00D566BC"/>
    <w:rsid w:val="00D5672D"/>
    <w:rsid w:val="00D573E6"/>
    <w:rsid w:val="00D57497"/>
    <w:rsid w:val="00D575DC"/>
    <w:rsid w:val="00D577A5"/>
    <w:rsid w:val="00D602EE"/>
    <w:rsid w:val="00D6166E"/>
    <w:rsid w:val="00D61AAE"/>
    <w:rsid w:val="00D61D08"/>
    <w:rsid w:val="00D62C9A"/>
    <w:rsid w:val="00D62CBB"/>
    <w:rsid w:val="00D63425"/>
    <w:rsid w:val="00D63F60"/>
    <w:rsid w:val="00D640C7"/>
    <w:rsid w:val="00D64949"/>
    <w:rsid w:val="00D64A5F"/>
    <w:rsid w:val="00D64CB8"/>
    <w:rsid w:val="00D672B2"/>
    <w:rsid w:val="00D70360"/>
    <w:rsid w:val="00D705F6"/>
    <w:rsid w:val="00D71D72"/>
    <w:rsid w:val="00D727E8"/>
    <w:rsid w:val="00D72AF3"/>
    <w:rsid w:val="00D72BB7"/>
    <w:rsid w:val="00D72FD8"/>
    <w:rsid w:val="00D742CD"/>
    <w:rsid w:val="00D74717"/>
    <w:rsid w:val="00D7504D"/>
    <w:rsid w:val="00D7594B"/>
    <w:rsid w:val="00D76813"/>
    <w:rsid w:val="00D76AE6"/>
    <w:rsid w:val="00D775A4"/>
    <w:rsid w:val="00D775E0"/>
    <w:rsid w:val="00D77E3B"/>
    <w:rsid w:val="00D81532"/>
    <w:rsid w:val="00D81BB3"/>
    <w:rsid w:val="00D822D5"/>
    <w:rsid w:val="00D8387F"/>
    <w:rsid w:val="00D83927"/>
    <w:rsid w:val="00D83FF8"/>
    <w:rsid w:val="00D842D4"/>
    <w:rsid w:val="00D847D8"/>
    <w:rsid w:val="00D84959"/>
    <w:rsid w:val="00D850CA"/>
    <w:rsid w:val="00D85A01"/>
    <w:rsid w:val="00D87453"/>
    <w:rsid w:val="00D8799B"/>
    <w:rsid w:val="00D9082D"/>
    <w:rsid w:val="00D90927"/>
    <w:rsid w:val="00D914FE"/>
    <w:rsid w:val="00D92E54"/>
    <w:rsid w:val="00D948F2"/>
    <w:rsid w:val="00D953E6"/>
    <w:rsid w:val="00D95CAF"/>
    <w:rsid w:val="00D96080"/>
    <w:rsid w:val="00D9640A"/>
    <w:rsid w:val="00D9697A"/>
    <w:rsid w:val="00D96EA0"/>
    <w:rsid w:val="00D97647"/>
    <w:rsid w:val="00D97699"/>
    <w:rsid w:val="00DA196D"/>
    <w:rsid w:val="00DA1EF4"/>
    <w:rsid w:val="00DA2BCA"/>
    <w:rsid w:val="00DA4C48"/>
    <w:rsid w:val="00DA5E26"/>
    <w:rsid w:val="00DA6B8B"/>
    <w:rsid w:val="00DA727D"/>
    <w:rsid w:val="00DB06BD"/>
    <w:rsid w:val="00DB08A2"/>
    <w:rsid w:val="00DB197F"/>
    <w:rsid w:val="00DB1C28"/>
    <w:rsid w:val="00DB24B1"/>
    <w:rsid w:val="00DB301A"/>
    <w:rsid w:val="00DB391F"/>
    <w:rsid w:val="00DB42B3"/>
    <w:rsid w:val="00DB42CF"/>
    <w:rsid w:val="00DB4985"/>
    <w:rsid w:val="00DB53A7"/>
    <w:rsid w:val="00DB5D02"/>
    <w:rsid w:val="00DB6D7E"/>
    <w:rsid w:val="00DB705A"/>
    <w:rsid w:val="00DB7104"/>
    <w:rsid w:val="00DB77AD"/>
    <w:rsid w:val="00DC15B3"/>
    <w:rsid w:val="00DC1EC8"/>
    <w:rsid w:val="00DC304D"/>
    <w:rsid w:val="00DC31DF"/>
    <w:rsid w:val="00DC415B"/>
    <w:rsid w:val="00DC45B1"/>
    <w:rsid w:val="00DC5C23"/>
    <w:rsid w:val="00DC5CEE"/>
    <w:rsid w:val="00DC6433"/>
    <w:rsid w:val="00DC681A"/>
    <w:rsid w:val="00DC6E53"/>
    <w:rsid w:val="00DD170F"/>
    <w:rsid w:val="00DD1AF2"/>
    <w:rsid w:val="00DD1C4A"/>
    <w:rsid w:val="00DD2558"/>
    <w:rsid w:val="00DD3E5D"/>
    <w:rsid w:val="00DD47CF"/>
    <w:rsid w:val="00DD4A32"/>
    <w:rsid w:val="00DD58B5"/>
    <w:rsid w:val="00DD7AEA"/>
    <w:rsid w:val="00DD7F50"/>
    <w:rsid w:val="00DE03BF"/>
    <w:rsid w:val="00DE0A8A"/>
    <w:rsid w:val="00DE0D71"/>
    <w:rsid w:val="00DE1760"/>
    <w:rsid w:val="00DE3B9F"/>
    <w:rsid w:val="00DE500D"/>
    <w:rsid w:val="00DE5087"/>
    <w:rsid w:val="00DE54D8"/>
    <w:rsid w:val="00DE59DA"/>
    <w:rsid w:val="00DE7529"/>
    <w:rsid w:val="00DE7B39"/>
    <w:rsid w:val="00DE7EF9"/>
    <w:rsid w:val="00DF1516"/>
    <w:rsid w:val="00DF1DDC"/>
    <w:rsid w:val="00DF2628"/>
    <w:rsid w:val="00DF2C1B"/>
    <w:rsid w:val="00DF35E0"/>
    <w:rsid w:val="00DF3673"/>
    <w:rsid w:val="00DF3AF1"/>
    <w:rsid w:val="00DF3FDF"/>
    <w:rsid w:val="00DF4C1F"/>
    <w:rsid w:val="00DF511E"/>
    <w:rsid w:val="00DF562D"/>
    <w:rsid w:val="00DF590B"/>
    <w:rsid w:val="00DF5A2E"/>
    <w:rsid w:val="00DF6E54"/>
    <w:rsid w:val="00DF71F4"/>
    <w:rsid w:val="00E004FC"/>
    <w:rsid w:val="00E01D7A"/>
    <w:rsid w:val="00E02C9F"/>
    <w:rsid w:val="00E03128"/>
    <w:rsid w:val="00E04228"/>
    <w:rsid w:val="00E04457"/>
    <w:rsid w:val="00E04545"/>
    <w:rsid w:val="00E0458D"/>
    <w:rsid w:val="00E04BBC"/>
    <w:rsid w:val="00E04F04"/>
    <w:rsid w:val="00E05B20"/>
    <w:rsid w:val="00E07994"/>
    <w:rsid w:val="00E07F31"/>
    <w:rsid w:val="00E10197"/>
    <w:rsid w:val="00E10450"/>
    <w:rsid w:val="00E1049B"/>
    <w:rsid w:val="00E10C2A"/>
    <w:rsid w:val="00E11BE8"/>
    <w:rsid w:val="00E11FD5"/>
    <w:rsid w:val="00E126B9"/>
    <w:rsid w:val="00E140F6"/>
    <w:rsid w:val="00E143BD"/>
    <w:rsid w:val="00E144D6"/>
    <w:rsid w:val="00E14650"/>
    <w:rsid w:val="00E1478E"/>
    <w:rsid w:val="00E14EA4"/>
    <w:rsid w:val="00E15153"/>
    <w:rsid w:val="00E159D7"/>
    <w:rsid w:val="00E15FE3"/>
    <w:rsid w:val="00E16629"/>
    <w:rsid w:val="00E16D8B"/>
    <w:rsid w:val="00E16D93"/>
    <w:rsid w:val="00E17CDA"/>
    <w:rsid w:val="00E17D6F"/>
    <w:rsid w:val="00E20480"/>
    <w:rsid w:val="00E20DFB"/>
    <w:rsid w:val="00E20DFD"/>
    <w:rsid w:val="00E21653"/>
    <w:rsid w:val="00E21AD0"/>
    <w:rsid w:val="00E226A4"/>
    <w:rsid w:val="00E2414E"/>
    <w:rsid w:val="00E24F0B"/>
    <w:rsid w:val="00E25C89"/>
    <w:rsid w:val="00E261F8"/>
    <w:rsid w:val="00E26830"/>
    <w:rsid w:val="00E26834"/>
    <w:rsid w:val="00E26C4B"/>
    <w:rsid w:val="00E274A8"/>
    <w:rsid w:val="00E302F8"/>
    <w:rsid w:val="00E30B4D"/>
    <w:rsid w:val="00E33542"/>
    <w:rsid w:val="00E3364F"/>
    <w:rsid w:val="00E336B9"/>
    <w:rsid w:val="00E34373"/>
    <w:rsid w:val="00E347A6"/>
    <w:rsid w:val="00E35356"/>
    <w:rsid w:val="00E3611B"/>
    <w:rsid w:val="00E36933"/>
    <w:rsid w:val="00E370B3"/>
    <w:rsid w:val="00E372C3"/>
    <w:rsid w:val="00E3746C"/>
    <w:rsid w:val="00E4082C"/>
    <w:rsid w:val="00E40B36"/>
    <w:rsid w:val="00E410CD"/>
    <w:rsid w:val="00E4123C"/>
    <w:rsid w:val="00E41F5B"/>
    <w:rsid w:val="00E426C0"/>
    <w:rsid w:val="00E4299A"/>
    <w:rsid w:val="00E4308E"/>
    <w:rsid w:val="00E4384C"/>
    <w:rsid w:val="00E44027"/>
    <w:rsid w:val="00E44CD8"/>
    <w:rsid w:val="00E45249"/>
    <w:rsid w:val="00E452D1"/>
    <w:rsid w:val="00E456FC"/>
    <w:rsid w:val="00E45BBB"/>
    <w:rsid w:val="00E46090"/>
    <w:rsid w:val="00E46779"/>
    <w:rsid w:val="00E46AEB"/>
    <w:rsid w:val="00E470F0"/>
    <w:rsid w:val="00E47728"/>
    <w:rsid w:val="00E50072"/>
    <w:rsid w:val="00E50217"/>
    <w:rsid w:val="00E50974"/>
    <w:rsid w:val="00E511B0"/>
    <w:rsid w:val="00E51672"/>
    <w:rsid w:val="00E52247"/>
    <w:rsid w:val="00E52C03"/>
    <w:rsid w:val="00E52FA1"/>
    <w:rsid w:val="00E53533"/>
    <w:rsid w:val="00E54BD9"/>
    <w:rsid w:val="00E54DE1"/>
    <w:rsid w:val="00E5586B"/>
    <w:rsid w:val="00E55BB9"/>
    <w:rsid w:val="00E55BC7"/>
    <w:rsid w:val="00E55EE5"/>
    <w:rsid w:val="00E56268"/>
    <w:rsid w:val="00E56584"/>
    <w:rsid w:val="00E56D72"/>
    <w:rsid w:val="00E577EE"/>
    <w:rsid w:val="00E57F82"/>
    <w:rsid w:val="00E609D9"/>
    <w:rsid w:val="00E60B15"/>
    <w:rsid w:val="00E615D7"/>
    <w:rsid w:val="00E6165F"/>
    <w:rsid w:val="00E61694"/>
    <w:rsid w:val="00E61F1D"/>
    <w:rsid w:val="00E625B3"/>
    <w:rsid w:val="00E62797"/>
    <w:rsid w:val="00E63355"/>
    <w:rsid w:val="00E633E3"/>
    <w:rsid w:val="00E636A8"/>
    <w:rsid w:val="00E6373A"/>
    <w:rsid w:val="00E63F40"/>
    <w:rsid w:val="00E64725"/>
    <w:rsid w:val="00E64743"/>
    <w:rsid w:val="00E6538E"/>
    <w:rsid w:val="00E6562F"/>
    <w:rsid w:val="00E65F18"/>
    <w:rsid w:val="00E660CE"/>
    <w:rsid w:val="00E66BEA"/>
    <w:rsid w:val="00E66D1F"/>
    <w:rsid w:val="00E70013"/>
    <w:rsid w:val="00E70341"/>
    <w:rsid w:val="00E70EF5"/>
    <w:rsid w:val="00E7257D"/>
    <w:rsid w:val="00E728CB"/>
    <w:rsid w:val="00E7336F"/>
    <w:rsid w:val="00E74180"/>
    <w:rsid w:val="00E74F6F"/>
    <w:rsid w:val="00E76262"/>
    <w:rsid w:val="00E76566"/>
    <w:rsid w:val="00E76ED9"/>
    <w:rsid w:val="00E76EDA"/>
    <w:rsid w:val="00E7766A"/>
    <w:rsid w:val="00E814F0"/>
    <w:rsid w:val="00E816F6"/>
    <w:rsid w:val="00E820FD"/>
    <w:rsid w:val="00E82813"/>
    <w:rsid w:val="00E82C6B"/>
    <w:rsid w:val="00E835F2"/>
    <w:rsid w:val="00E83F56"/>
    <w:rsid w:val="00E84A6B"/>
    <w:rsid w:val="00E84ACD"/>
    <w:rsid w:val="00E85854"/>
    <w:rsid w:val="00E85FE6"/>
    <w:rsid w:val="00E86A7F"/>
    <w:rsid w:val="00E877FE"/>
    <w:rsid w:val="00E87BAE"/>
    <w:rsid w:val="00E87E1C"/>
    <w:rsid w:val="00E90A07"/>
    <w:rsid w:val="00E9158A"/>
    <w:rsid w:val="00E918E5"/>
    <w:rsid w:val="00E922DB"/>
    <w:rsid w:val="00E922E3"/>
    <w:rsid w:val="00E92385"/>
    <w:rsid w:val="00E92C7F"/>
    <w:rsid w:val="00E9308F"/>
    <w:rsid w:val="00E943EB"/>
    <w:rsid w:val="00E9670F"/>
    <w:rsid w:val="00E96AD1"/>
    <w:rsid w:val="00E96DEA"/>
    <w:rsid w:val="00E97F44"/>
    <w:rsid w:val="00EA1585"/>
    <w:rsid w:val="00EA1A4B"/>
    <w:rsid w:val="00EA1A9B"/>
    <w:rsid w:val="00EA2433"/>
    <w:rsid w:val="00EA260C"/>
    <w:rsid w:val="00EA2883"/>
    <w:rsid w:val="00EA2FCE"/>
    <w:rsid w:val="00EA4247"/>
    <w:rsid w:val="00EA4686"/>
    <w:rsid w:val="00EA48AE"/>
    <w:rsid w:val="00EA6DB0"/>
    <w:rsid w:val="00EB059E"/>
    <w:rsid w:val="00EB09E2"/>
    <w:rsid w:val="00EB0D21"/>
    <w:rsid w:val="00EB1967"/>
    <w:rsid w:val="00EB1BF1"/>
    <w:rsid w:val="00EB207F"/>
    <w:rsid w:val="00EB2B51"/>
    <w:rsid w:val="00EB2C25"/>
    <w:rsid w:val="00EB3103"/>
    <w:rsid w:val="00EB4AB6"/>
    <w:rsid w:val="00EB559C"/>
    <w:rsid w:val="00EB659F"/>
    <w:rsid w:val="00EB6B0F"/>
    <w:rsid w:val="00EB74A5"/>
    <w:rsid w:val="00EB7FD7"/>
    <w:rsid w:val="00EC0277"/>
    <w:rsid w:val="00EC05C9"/>
    <w:rsid w:val="00EC1412"/>
    <w:rsid w:val="00EC42D2"/>
    <w:rsid w:val="00EC4C22"/>
    <w:rsid w:val="00EC566B"/>
    <w:rsid w:val="00EC5B86"/>
    <w:rsid w:val="00EC5FD8"/>
    <w:rsid w:val="00EC659D"/>
    <w:rsid w:val="00EC68F5"/>
    <w:rsid w:val="00EC6EB5"/>
    <w:rsid w:val="00EC72C2"/>
    <w:rsid w:val="00EC7C17"/>
    <w:rsid w:val="00ED1A22"/>
    <w:rsid w:val="00ED2572"/>
    <w:rsid w:val="00ED2D54"/>
    <w:rsid w:val="00ED2DA0"/>
    <w:rsid w:val="00ED35ED"/>
    <w:rsid w:val="00ED3C83"/>
    <w:rsid w:val="00ED3FEB"/>
    <w:rsid w:val="00ED53E7"/>
    <w:rsid w:val="00ED685A"/>
    <w:rsid w:val="00ED756D"/>
    <w:rsid w:val="00ED7A62"/>
    <w:rsid w:val="00EE0060"/>
    <w:rsid w:val="00EE0126"/>
    <w:rsid w:val="00EE028B"/>
    <w:rsid w:val="00EE069D"/>
    <w:rsid w:val="00EE276C"/>
    <w:rsid w:val="00EE47B8"/>
    <w:rsid w:val="00EE53B3"/>
    <w:rsid w:val="00EE5C33"/>
    <w:rsid w:val="00EE5E24"/>
    <w:rsid w:val="00EE6402"/>
    <w:rsid w:val="00EE786C"/>
    <w:rsid w:val="00EE7A30"/>
    <w:rsid w:val="00EF0C32"/>
    <w:rsid w:val="00EF2934"/>
    <w:rsid w:val="00EF2A15"/>
    <w:rsid w:val="00EF42CE"/>
    <w:rsid w:val="00EF4C52"/>
    <w:rsid w:val="00EF4CBA"/>
    <w:rsid w:val="00EF561D"/>
    <w:rsid w:val="00EF59FC"/>
    <w:rsid w:val="00EF5BFD"/>
    <w:rsid w:val="00EF633A"/>
    <w:rsid w:val="00EF678A"/>
    <w:rsid w:val="00EF6E8E"/>
    <w:rsid w:val="00EF7703"/>
    <w:rsid w:val="00EF7A91"/>
    <w:rsid w:val="00F00501"/>
    <w:rsid w:val="00F005A3"/>
    <w:rsid w:val="00F0089E"/>
    <w:rsid w:val="00F013AB"/>
    <w:rsid w:val="00F013B0"/>
    <w:rsid w:val="00F01820"/>
    <w:rsid w:val="00F01C6F"/>
    <w:rsid w:val="00F0219E"/>
    <w:rsid w:val="00F021FC"/>
    <w:rsid w:val="00F029C2"/>
    <w:rsid w:val="00F041EA"/>
    <w:rsid w:val="00F043AA"/>
    <w:rsid w:val="00F04AD7"/>
    <w:rsid w:val="00F06078"/>
    <w:rsid w:val="00F0668E"/>
    <w:rsid w:val="00F06E12"/>
    <w:rsid w:val="00F06EE2"/>
    <w:rsid w:val="00F074DC"/>
    <w:rsid w:val="00F12C01"/>
    <w:rsid w:val="00F131E3"/>
    <w:rsid w:val="00F136B3"/>
    <w:rsid w:val="00F13B3A"/>
    <w:rsid w:val="00F13ECD"/>
    <w:rsid w:val="00F14E45"/>
    <w:rsid w:val="00F15496"/>
    <w:rsid w:val="00F15711"/>
    <w:rsid w:val="00F16139"/>
    <w:rsid w:val="00F1636B"/>
    <w:rsid w:val="00F17F33"/>
    <w:rsid w:val="00F209A5"/>
    <w:rsid w:val="00F20CCF"/>
    <w:rsid w:val="00F21F02"/>
    <w:rsid w:val="00F2272E"/>
    <w:rsid w:val="00F22C6F"/>
    <w:rsid w:val="00F23D45"/>
    <w:rsid w:val="00F23D4E"/>
    <w:rsid w:val="00F2403E"/>
    <w:rsid w:val="00F245AC"/>
    <w:rsid w:val="00F24E9D"/>
    <w:rsid w:val="00F24F8F"/>
    <w:rsid w:val="00F257C2"/>
    <w:rsid w:val="00F25A6F"/>
    <w:rsid w:val="00F267C9"/>
    <w:rsid w:val="00F26A38"/>
    <w:rsid w:val="00F26D4D"/>
    <w:rsid w:val="00F270B9"/>
    <w:rsid w:val="00F278AF"/>
    <w:rsid w:val="00F27A36"/>
    <w:rsid w:val="00F27F70"/>
    <w:rsid w:val="00F305AF"/>
    <w:rsid w:val="00F30732"/>
    <w:rsid w:val="00F307E0"/>
    <w:rsid w:val="00F320BE"/>
    <w:rsid w:val="00F326B0"/>
    <w:rsid w:val="00F337A3"/>
    <w:rsid w:val="00F33A56"/>
    <w:rsid w:val="00F33BA0"/>
    <w:rsid w:val="00F33F9F"/>
    <w:rsid w:val="00F34D63"/>
    <w:rsid w:val="00F352E8"/>
    <w:rsid w:val="00F371ED"/>
    <w:rsid w:val="00F373D4"/>
    <w:rsid w:val="00F37580"/>
    <w:rsid w:val="00F411B7"/>
    <w:rsid w:val="00F41EB0"/>
    <w:rsid w:val="00F431E0"/>
    <w:rsid w:val="00F43656"/>
    <w:rsid w:val="00F4409D"/>
    <w:rsid w:val="00F441D6"/>
    <w:rsid w:val="00F44692"/>
    <w:rsid w:val="00F46B00"/>
    <w:rsid w:val="00F47C98"/>
    <w:rsid w:val="00F50542"/>
    <w:rsid w:val="00F505F4"/>
    <w:rsid w:val="00F50638"/>
    <w:rsid w:val="00F51EF7"/>
    <w:rsid w:val="00F5292A"/>
    <w:rsid w:val="00F52DB1"/>
    <w:rsid w:val="00F54275"/>
    <w:rsid w:val="00F54DC6"/>
    <w:rsid w:val="00F5625C"/>
    <w:rsid w:val="00F56418"/>
    <w:rsid w:val="00F5678F"/>
    <w:rsid w:val="00F57129"/>
    <w:rsid w:val="00F57164"/>
    <w:rsid w:val="00F571FE"/>
    <w:rsid w:val="00F57A00"/>
    <w:rsid w:val="00F57F7A"/>
    <w:rsid w:val="00F609F6"/>
    <w:rsid w:val="00F60D10"/>
    <w:rsid w:val="00F6158F"/>
    <w:rsid w:val="00F61D54"/>
    <w:rsid w:val="00F62B0C"/>
    <w:rsid w:val="00F62D33"/>
    <w:rsid w:val="00F651AD"/>
    <w:rsid w:val="00F6570B"/>
    <w:rsid w:val="00F65964"/>
    <w:rsid w:val="00F65C6F"/>
    <w:rsid w:val="00F66EB1"/>
    <w:rsid w:val="00F67261"/>
    <w:rsid w:val="00F67615"/>
    <w:rsid w:val="00F7049D"/>
    <w:rsid w:val="00F70508"/>
    <w:rsid w:val="00F7092B"/>
    <w:rsid w:val="00F71069"/>
    <w:rsid w:val="00F71A14"/>
    <w:rsid w:val="00F72ECE"/>
    <w:rsid w:val="00F73196"/>
    <w:rsid w:val="00F73898"/>
    <w:rsid w:val="00F74181"/>
    <w:rsid w:val="00F7480B"/>
    <w:rsid w:val="00F74D8C"/>
    <w:rsid w:val="00F75ACB"/>
    <w:rsid w:val="00F765DF"/>
    <w:rsid w:val="00F76616"/>
    <w:rsid w:val="00F76C98"/>
    <w:rsid w:val="00F7701A"/>
    <w:rsid w:val="00F77216"/>
    <w:rsid w:val="00F77AB0"/>
    <w:rsid w:val="00F804CD"/>
    <w:rsid w:val="00F80750"/>
    <w:rsid w:val="00F8099C"/>
    <w:rsid w:val="00F811CC"/>
    <w:rsid w:val="00F817E6"/>
    <w:rsid w:val="00F82B36"/>
    <w:rsid w:val="00F83042"/>
    <w:rsid w:val="00F83FFB"/>
    <w:rsid w:val="00F85F59"/>
    <w:rsid w:val="00F86717"/>
    <w:rsid w:val="00F86782"/>
    <w:rsid w:val="00F86C26"/>
    <w:rsid w:val="00F86CB8"/>
    <w:rsid w:val="00F86DD4"/>
    <w:rsid w:val="00F87172"/>
    <w:rsid w:val="00F87235"/>
    <w:rsid w:val="00F8787E"/>
    <w:rsid w:val="00F903E5"/>
    <w:rsid w:val="00F904AC"/>
    <w:rsid w:val="00F90CFB"/>
    <w:rsid w:val="00F91036"/>
    <w:rsid w:val="00F91195"/>
    <w:rsid w:val="00F920AE"/>
    <w:rsid w:val="00F92537"/>
    <w:rsid w:val="00F92DA1"/>
    <w:rsid w:val="00F94126"/>
    <w:rsid w:val="00F94E5E"/>
    <w:rsid w:val="00F957F9"/>
    <w:rsid w:val="00F95F74"/>
    <w:rsid w:val="00F96630"/>
    <w:rsid w:val="00F96D20"/>
    <w:rsid w:val="00F971CA"/>
    <w:rsid w:val="00F97ADB"/>
    <w:rsid w:val="00F97E25"/>
    <w:rsid w:val="00FA0954"/>
    <w:rsid w:val="00FA17AB"/>
    <w:rsid w:val="00FA26E4"/>
    <w:rsid w:val="00FA3842"/>
    <w:rsid w:val="00FA38BE"/>
    <w:rsid w:val="00FA3CEC"/>
    <w:rsid w:val="00FA3FAD"/>
    <w:rsid w:val="00FA58AF"/>
    <w:rsid w:val="00FA5AB2"/>
    <w:rsid w:val="00FA5B95"/>
    <w:rsid w:val="00FA6079"/>
    <w:rsid w:val="00FA7254"/>
    <w:rsid w:val="00FA743E"/>
    <w:rsid w:val="00FA7745"/>
    <w:rsid w:val="00FA7749"/>
    <w:rsid w:val="00FB0042"/>
    <w:rsid w:val="00FB03E3"/>
    <w:rsid w:val="00FB0A0A"/>
    <w:rsid w:val="00FB0EAA"/>
    <w:rsid w:val="00FB1034"/>
    <w:rsid w:val="00FB15AD"/>
    <w:rsid w:val="00FB193B"/>
    <w:rsid w:val="00FB19BA"/>
    <w:rsid w:val="00FB1B2D"/>
    <w:rsid w:val="00FB24D4"/>
    <w:rsid w:val="00FB288D"/>
    <w:rsid w:val="00FB2FA6"/>
    <w:rsid w:val="00FB31C2"/>
    <w:rsid w:val="00FB45A4"/>
    <w:rsid w:val="00FB4CF2"/>
    <w:rsid w:val="00FB518B"/>
    <w:rsid w:val="00FB55CA"/>
    <w:rsid w:val="00FB5EC9"/>
    <w:rsid w:val="00FB66FA"/>
    <w:rsid w:val="00FC0143"/>
    <w:rsid w:val="00FC0484"/>
    <w:rsid w:val="00FC16D2"/>
    <w:rsid w:val="00FC1AC6"/>
    <w:rsid w:val="00FC2D0B"/>
    <w:rsid w:val="00FC3296"/>
    <w:rsid w:val="00FC33BD"/>
    <w:rsid w:val="00FC459D"/>
    <w:rsid w:val="00FC4845"/>
    <w:rsid w:val="00FC4955"/>
    <w:rsid w:val="00FC4FD9"/>
    <w:rsid w:val="00FC57E5"/>
    <w:rsid w:val="00FC5920"/>
    <w:rsid w:val="00FC5CA2"/>
    <w:rsid w:val="00FC617B"/>
    <w:rsid w:val="00FC6B03"/>
    <w:rsid w:val="00FC6B24"/>
    <w:rsid w:val="00FC7011"/>
    <w:rsid w:val="00FD06D5"/>
    <w:rsid w:val="00FD31E0"/>
    <w:rsid w:val="00FD3A5C"/>
    <w:rsid w:val="00FD4439"/>
    <w:rsid w:val="00FD45AF"/>
    <w:rsid w:val="00FD54D9"/>
    <w:rsid w:val="00FD594D"/>
    <w:rsid w:val="00FD77EB"/>
    <w:rsid w:val="00FD78CF"/>
    <w:rsid w:val="00FE0585"/>
    <w:rsid w:val="00FE07F6"/>
    <w:rsid w:val="00FE0A19"/>
    <w:rsid w:val="00FE1E85"/>
    <w:rsid w:val="00FE225B"/>
    <w:rsid w:val="00FE2BA9"/>
    <w:rsid w:val="00FE3A6B"/>
    <w:rsid w:val="00FE419E"/>
    <w:rsid w:val="00FE484A"/>
    <w:rsid w:val="00FE4D09"/>
    <w:rsid w:val="00FE5001"/>
    <w:rsid w:val="00FE58C1"/>
    <w:rsid w:val="00FE6449"/>
    <w:rsid w:val="00FE6D3C"/>
    <w:rsid w:val="00FE71C9"/>
    <w:rsid w:val="00FE75A3"/>
    <w:rsid w:val="00FF0208"/>
    <w:rsid w:val="00FF074C"/>
    <w:rsid w:val="00FF1915"/>
    <w:rsid w:val="00FF2484"/>
    <w:rsid w:val="00FF4E1A"/>
    <w:rsid w:val="00FF566A"/>
    <w:rsid w:val="00FF5E9A"/>
    <w:rsid w:val="00FF78DB"/>
    <w:rsid w:val="00FF7B05"/>
    <w:rsid w:val="08E75F07"/>
    <w:rsid w:val="11374269"/>
    <w:rsid w:val="18978F0D"/>
    <w:rsid w:val="2311E258"/>
    <w:rsid w:val="23251328"/>
    <w:rsid w:val="28449894"/>
    <w:rsid w:val="43303FB5"/>
    <w:rsid w:val="46C7791E"/>
    <w:rsid w:val="48E84855"/>
    <w:rsid w:val="5013FC01"/>
    <w:rsid w:val="687DD395"/>
    <w:rsid w:val="74DD7E34"/>
    <w:rsid w:val="798995E1"/>
    <w:rsid w:val="7A3A596A"/>
    <w:rsid w:val="7A7147ED"/>
    <w:rsid w:val="7C4EDCB0"/>
    <w:rsid w:val="7EEC4DB4"/>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50DB94"/>
  <w15:docId w15:val="{CBE2D7FA-4821-49FB-8436-59D8185C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heme="minorBidi"/>
        <w:color w:val="000000" w:themeColor="text1"/>
        <w:sz w:val="22"/>
        <w:szCs w:val="22"/>
        <w:lang w:val="en-AU" w:eastAsia="en-US" w:bidi="ar-SA"/>
      </w:rPr>
    </w:rPrDefault>
    <w:pPrDefault>
      <w:pPr>
        <w:spacing w:after="12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nhideWhenUsed="1"/>
    <w:lsdException w:name="List Bullet 4" w:semiHidden="1" w:qFormat="1"/>
    <w:lsdException w:name="List Bullet 5" w:semiHidden="1" w:unhideWhenUsed="1"/>
    <w:lsdException w:name="List Number 2" w:unhideWhenUsed="1"/>
    <w:lsdException w:name="List Number 3" w:unhideWhenUsed="1"/>
    <w:lsdException w:name="List Number 4"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A5602B"/>
  </w:style>
  <w:style w:type="paragraph" w:styleId="Heading1">
    <w:name w:val="heading 1"/>
    <w:basedOn w:val="Normal"/>
    <w:next w:val="Normal"/>
    <w:link w:val="Heading1Char"/>
    <w:uiPriority w:val="9"/>
    <w:qFormat/>
    <w:rsid w:val="00A2395C"/>
    <w:pPr>
      <w:keepNext/>
      <w:keepLines/>
      <w:numPr>
        <w:numId w:val="9"/>
      </w:numPr>
      <w:spacing w:after="60"/>
      <w:outlineLvl w:val="0"/>
    </w:pPr>
    <w:rPr>
      <w:rFonts w:asciiTheme="majorHAnsi" w:eastAsiaTheme="majorEastAsia" w:hAnsiTheme="majorHAnsi" w:cstheme="majorBidi"/>
      <w:b/>
      <w:bCs/>
      <w:sz w:val="44"/>
      <w:szCs w:val="28"/>
    </w:rPr>
  </w:style>
  <w:style w:type="paragraph" w:styleId="Heading2">
    <w:name w:val="heading 2"/>
    <w:basedOn w:val="Normal"/>
    <w:next w:val="Normal"/>
    <w:link w:val="Heading2Char"/>
    <w:uiPriority w:val="9"/>
    <w:qFormat/>
    <w:rsid w:val="00A2395C"/>
    <w:pPr>
      <w:keepNext/>
      <w:keepLines/>
      <w:numPr>
        <w:ilvl w:val="1"/>
        <w:numId w:val="9"/>
      </w:numPr>
      <w:spacing w:after="60"/>
      <w:outlineLvl w:val="1"/>
    </w:pPr>
    <w:rPr>
      <w:rFonts w:asciiTheme="majorHAnsi" w:eastAsiaTheme="majorEastAsia" w:hAnsiTheme="majorHAnsi" w:cstheme="majorBidi"/>
      <w:bCs/>
      <w:sz w:val="32"/>
      <w:szCs w:val="26"/>
    </w:rPr>
  </w:style>
  <w:style w:type="paragraph" w:styleId="Heading3">
    <w:name w:val="heading 3"/>
    <w:basedOn w:val="Normal"/>
    <w:next w:val="Normal"/>
    <w:link w:val="Heading3Char"/>
    <w:uiPriority w:val="9"/>
    <w:qFormat/>
    <w:rsid w:val="00A2395C"/>
    <w:pPr>
      <w:keepNext/>
      <w:keepLines/>
      <w:numPr>
        <w:ilvl w:val="2"/>
        <w:numId w:val="9"/>
      </w:numPr>
      <w:spacing w:after="60"/>
      <w:outlineLvl w:val="2"/>
    </w:pPr>
    <w:rPr>
      <w:rFonts w:asciiTheme="majorHAnsi" w:eastAsiaTheme="majorEastAsia" w:hAnsiTheme="majorHAnsi" w:cstheme="majorBidi"/>
      <w:bCs/>
      <w:sz w:val="28"/>
    </w:rPr>
  </w:style>
  <w:style w:type="paragraph" w:styleId="Heading4">
    <w:name w:val="heading 4"/>
    <w:basedOn w:val="Normal"/>
    <w:next w:val="Normal"/>
    <w:link w:val="Heading4Char"/>
    <w:uiPriority w:val="9"/>
    <w:qFormat/>
    <w:rsid w:val="00A2395C"/>
    <w:pPr>
      <w:keepNext/>
      <w:keepLines/>
      <w:numPr>
        <w:ilvl w:val="3"/>
        <w:numId w:val="9"/>
      </w:numPr>
      <w:spacing w:after="60"/>
      <w:outlineLvl w:val="3"/>
    </w:pPr>
    <w:rPr>
      <w:rFonts w:asciiTheme="majorHAnsi" w:eastAsiaTheme="majorEastAsia" w:hAnsiTheme="majorHAnsi" w:cstheme="majorBidi"/>
      <w:bCs/>
      <w:iCs/>
      <w:sz w:val="24"/>
    </w:rPr>
  </w:style>
  <w:style w:type="paragraph" w:styleId="Heading5">
    <w:name w:val="heading 5"/>
    <w:basedOn w:val="Normal"/>
    <w:next w:val="Normal"/>
    <w:link w:val="Heading5Char"/>
    <w:uiPriority w:val="9"/>
    <w:qFormat/>
    <w:rsid w:val="00D61D08"/>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95C"/>
    <w:rPr>
      <w:rFonts w:asciiTheme="majorHAnsi" w:eastAsiaTheme="majorEastAsia" w:hAnsiTheme="majorHAnsi" w:cstheme="majorBidi"/>
      <w:b/>
      <w:bCs/>
      <w:sz w:val="44"/>
      <w:szCs w:val="28"/>
    </w:rPr>
  </w:style>
  <w:style w:type="character" w:customStyle="1" w:styleId="Heading2Char">
    <w:name w:val="Heading 2 Char"/>
    <w:basedOn w:val="DefaultParagraphFont"/>
    <w:link w:val="Heading2"/>
    <w:uiPriority w:val="9"/>
    <w:rsid w:val="00A2395C"/>
    <w:rPr>
      <w:rFonts w:asciiTheme="majorHAnsi" w:eastAsiaTheme="majorEastAsia" w:hAnsiTheme="majorHAnsi" w:cstheme="majorBidi"/>
      <w:bCs/>
      <w:sz w:val="32"/>
      <w:szCs w:val="26"/>
    </w:rPr>
  </w:style>
  <w:style w:type="character" w:customStyle="1" w:styleId="Heading3Char">
    <w:name w:val="Heading 3 Char"/>
    <w:basedOn w:val="DefaultParagraphFont"/>
    <w:link w:val="Heading3"/>
    <w:uiPriority w:val="9"/>
    <w:rsid w:val="00A2395C"/>
    <w:rPr>
      <w:rFonts w:asciiTheme="majorHAnsi" w:eastAsiaTheme="majorEastAsia" w:hAnsiTheme="majorHAnsi" w:cstheme="majorBidi"/>
      <w:bCs/>
      <w:sz w:val="28"/>
    </w:rPr>
  </w:style>
  <w:style w:type="paragraph" w:customStyle="1" w:styleId="CoverSubtitleFacultySchool">
    <w:name w:val="Cover Subtitle/Faculty/School"/>
    <w:basedOn w:val="Normal"/>
    <w:next w:val="Title"/>
    <w:uiPriority w:val="21"/>
    <w:rsid w:val="00502547"/>
    <w:pPr>
      <w:spacing w:after="0" w:line="240" w:lineRule="auto"/>
    </w:pPr>
    <w:rPr>
      <w:rFonts w:asciiTheme="majorHAnsi" w:hAnsiTheme="majorHAnsi"/>
      <w:sz w:val="24"/>
    </w:rPr>
  </w:style>
  <w:style w:type="paragraph" w:customStyle="1" w:styleId="SubHeading">
    <w:name w:val="Sub Heading"/>
    <w:basedOn w:val="Normal"/>
    <w:next w:val="Normal"/>
    <w:uiPriority w:val="9"/>
    <w:qFormat/>
    <w:rsid w:val="00A2395C"/>
    <w:pPr>
      <w:keepNext/>
      <w:keepLines/>
      <w:spacing w:before="120" w:after="0"/>
    </w:pPr>
    <w:rPr>
      <w:rFonts w:asciiTheme="majorHAnsi" w:hAnsiTheme="majorHAnsi"/>
      <w:sz w:val="24"/>
    </w:rPr>
  </w:style>
  <w:style w:type="character" w:customStyle="1" w:styleId="Heading4Char">
    <w:name w:val="Heading 4 Char"/>
    <w:basedOn w:val="DefaultParagraphFont"/>
    <w:link w:val="Heading4"/>
    <w:uiPriority w:val="9"/>
    <w:rsid w:val="00A2395C"/>
    <w:rPr>
      <w:rFonts w:asciiTheme="majorHAnsi" w:eastAsiaTheme="majorEastAsia" w:hAnsiTheme="majorHAnsi" w:cstheme="majorBidi"/>
      <w:bCs/>
      <w:iCs/>
      <w:sz w:val="24"/>
    </w:rPr>
  </w:style>
  <w:style w:type="paragraph" w:styleId="ListBullet">
    <w:name w:val="List Bullet"/>
    <w:basedOn w:val="Normal"/>
    <w:uiPriority w:val="16"/>
    <w:rsid w:val="007E0441"/>
    <w:pPr>
      <w:numPr>
        <w:numId w:val="10"/>
      </w:numPr>
      <w:contextualSpacing/>
    </w:pPr>
  </w:style>
  <w:style w:type="paragraph" w:styleId="ListBullet2">
    <w:name w:val="List Bullet 2"/>
    <w:basedOn w:val="Normal"/>
    <w:uiPriority w:val="16"/>
    <w:rsid w:val="007E0441"/>
    <w:pPr>
      <w:numPr>
        <w:ilvl w:val="1"/>
        <w:numId w:val="10"/>
      </w:numPr>
      <w:contextualSpacing/>
    </w:pPr>
  </w:style>
  <w:style w:type="paragraph" w:styleId="ListNumber">
    <w:name w:val="List Number"/>
    <w:basedOn w:val="Normal"/>
    <w:uiPriority w:val="16"/>
    <w:rsid w:val="00E57F82"/>
    <w:pPr>
      <w:tabs>
        <w:tab w:val="num" w:pos="360"/>
      </w:tabs>
      <w:ind w:left="720" w:hanging="363"/>
      <w:contextualSpacing/>
    </w:pPr>
  </w:style>
  <w:style w:type="paragraph" w:styleId="ListNumber2">
    <w:name w:val="List Number 2"/>
    <w:basedOn w:val="Normal"/>
    <w:uiPriority w:val="16"/>
    <w:rsid w:val="00E57F82"/>
    <w:pPr>
      <w:tabs>
        <w:tab w:val="num" w:pos="360"/>
      </w:tabs>
      <w:ind w:left="1077" w:hanging="357"/>
      <w:contextualSpacing/>
    </w:pPr>
  </w:style>
  <w:style w:type="numbering" w:customStyle="1" w:styleId="Lists">
    <w:name w:val="Lists"/>
    <w:uiPriority w:val="99"/>
    <w:rsid w:val="00A5602B"/>
    <w:pPr>
      <w:numPr>
        <w:numId w:val="5"/>
      </w:numPr>
    </w:pPr>
  </w:style>
  <w:style w:type="paragraph" w:styleId="ListNumber3">
    <w:name w:val="List Number 3"/>
    <w:basedOn w:val="Normal"/>
    <w:uiPriority w:val="16"/>
    <w:rsid w:val="00E57F82"/>
    <w:pPr>
      <w:contextualSpacing/>
    </w:pPr>
  </w:style>
  <w:style w:type="paragraph" w:styleId="Title">
    <w:name w:val="Title"/>
    <w:basedOn w:val="Normal"/>
    <w:link w:val="TitleChar"/>
    <w:uiPriority w:val="10"/>
    <w:qFormat/>
    <w:rsid w:val="002B1889"/>
    <w:pPr>
      <w:spacing w:after="360" w:line="240" w:lineRule="auto"/>
      <w:contextualSpacing/>
    </w:pPr>
    <w:rPr>
      <w:rFonts w:asciiTheme="majorHAnsi" w:eastAsiaTheme="majorEastAsia" w:hAnsiTheme="majorHAnsi" w:cstheme="majorBidi"/>
      <w:sz w:val="42"/>
      <w:szCs w:val="52"/>
    </w:rPr>
  </w:style>
  <w:style w:type="character" w:customStyle="1" w:styleId="TitleChar">
    <w:name w:val="Title Char"/>
    <w:basedOn w:val="DefaultParagraphFont"/>
    <w:link w:val="Title"/>
    <w:uiPriority w:val="10"/>
    <w:rsid w:val="002B1889"/>
    <w:rPr>
      <w:rFonts w:asciiTheme="majorHAnsi" w:eastAsiaTheme="majorEastAsia" w:hAnsiTheme="majorHAnsi" w:cstheme="majorBidi"/>
      <w:sz w:val="42"/>
      <w:szCs w:val="52"/>
    </w:rPr>
  </w:style>
  <w:style w:type="paragraph" w:styleId="TOC1">
    <w:name w:val="toc 1"/>
    <w:basedOn w:val="Normal"/>
    <w:next w:val="Normal"/>
    <w:autoRedefine/>
    <w:uiPriority w:val="39"/>
    <w:rsid w:val="003B65CC"/>
    <w:pPr>
      <w:tabs>
        <w:tab w:val="right" w:pos="10036"/>
      </w:tabs>
      <w:spacing w:before="60" w:after="0"/>
      <w:contextualSpacing/>
    </w:pPr>
    <w:rPr>
      <w:rFonts w:asciiTheme="minorHAnsi" w:hAnsiTheme="minorHAnsi"/>
      <w:b/>
    </w:rPr>
  </w:style>
  <w:style w:type="paragraph" w:styleId="TOCHeading">
    <w:name w:val="TOC Heading"/>
    <w:basedOn w:val="Heading1"/>
    <w:next w:val="Normal"/>
    <w:uiPriority w:val="39"/>
    <w:qFormat/>
    <w:rsid w:val="007F0323"/>
    <w:pPr>
      <w:numPr>
        <w:numId w:val="0"/>
      </w:numPr>
      <w:spacing w:after="720"/>
      <w:outlineLvl w:val="9"/>
    </w:pPr>
  </w:style>
  <w:style w:type="paragraph" w:styleId="Footer">
    <w:name w:val="footer"/>
    <w:basedOn w:val="Normal"/>
    <w:link w:val="FooterChar"/>
    <w:uiPriority w:val="99"/>
    <w:rsid w:val="007C372A"/>
    <w:pPr>
      <w:tabs>
        <w:tab w:val="right" w:pos="9639"/>
      </w:tabs>
      <w:spacing w:after="0" w:line="240" w:lineRule="auto"/>
    </w:pPr>
    <w:rPr>
      <w:rFonts w:asciiTheme="majorHAnsi" w:hAnsiTheme="majorHAnsi"/>
      <w:sz w:val="16"/>
    </w:rPr>
  </w:style>
  <w:style w:type="character" w:customStyle="1" w:styleId="FooterChar">
    <w:name w:val="Footer Char"/>
    <w:basedOn w:val="DefaultParagraphFont"/>
    <w:link w:val="Footer"/>
    <w:uiPriority w:val="99"/>
    <w:rsid w:val="007C372A"/>
    <w:rPr>
      <w:rFonts w:asciiTheme="majorHAnsi" w:hAnsiTheme="majorHAnsi"/>
      <w:sz w:val="16"/>
    </w:rPr>
  </w:style>
  <w:style w:type="paragraph" w:styleId="ListBullet3">
    <w:name w:val="List Bullet 3"/>
    <w:basedOn w:val="Normal"/>
    <w:uiPriority w:val="16"/>
    <w:rsid w:val="007E0441"/>
    <w:pPr>
      <w:numPr>
        <w:ilvl w:val="2"/>
        <w:numId w:val="10"/>
      </w:numPr>
      <w:contextualSpacing/>
    </w:pPr>
  </w:style>
  <w:style w:type="table" w:styleId="TableGrid">
    <w:name w:val="Table Grid"/>
    <w:basedOn w:val="TableNormal"/>
    <w:uiPriority w:val="39"/>
    <w:rsid w:val="0097755B"/>
    <w:pPr>
      <w:spacing w:before="40" w:after="40" w:line="240" w:lineRule="auto"/>
    </w:pPr>
    <w:tblPr>
      <w:tblStyleRowBandSize w:val="1"/>
      <w:tblStyleColBandSize w:val="1"/>
    </w:tblPr>
    <w:tblStylePr w:type="firstRow">
      <w:rPr>
        <w:b/>
        <w:color w:val="000000" w:themeColor="text1"/>
      </w:rPr>
      <w:tblPr/>
      <w:tcPr>
        <w:shd w:val="clear" w:color="auto" w:fill="FFDC00" w:themeFill="accent1"/>
      </w:tcPr>
    </w:tblStylePr>
    <w:tblStylePr w:type="lastRow">
      <w:rPr>
        <w:b/>
      </w:rPr>
    </w:tblStylePr>
    <w:tblStylePr w:type="firstCol">
      <w:rPr>
        <w:b/>
      </w:rPr>
    </w:tblStylePr>
    <w:tblStylePr w:type="lastCol">
      <w:pPr>
        <w:jc w:val="right"/>
      </w:pPr>
    </w:tblStylePr>
    <w:tblStylePr w:type="band2Horz">
      <w:tblPr/>
      <w:tcPr>
        <w:shd w:val="clear" w:color="auto" w:fill="F2F2F2" w:themeFill="background2"/>
      </w:tcPr>
    </w:tblStylePr>
  </w:style>
  <w:style w:type="paragraph" w:styleId="Caption">
    <w:name w:val="caption"/>
    <w:next w:val="Normal"/>
    <w:uiPriority w:val="35"/>
    <w:qFormat/>
    <w:rsid w:val="00072B30"/>
    <w:pPr>
      <w:spacing w:before="60" w:after="360"/>
    </w:pPr>
    <w:rPr>
      <w:b/>
      <w:bCs/>
      <w:sz w:val="16"/>
      <w:szCs w:val="18"/>
    </w:rPr>
  </w:style>
  <w:style w:type="paragraph" w:styleId="Header">
    <w:name w:val="header"/>
    <w:basedOn w:val="Normal"/>
    <w:link w:val="HeaderChar"/>
    <w:uiPriority w:val="99"/>
    <w:rsid w:val="0024336B"/>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AE7B98"/>
    <w:rPr>
      <w:sz w:val="16"/>
    </w:rPr>
  </w:style>
  <w:style w:type="paragraph" w:styleId="BalloonText">
    <w:name w:val="Balloon Text"/>
    <w:basedOn w:val="Normal"/>
    <w:link w:val="BalloonTextChar"/>
    <w:uiPriority w:val="99"/>
    <w:semiHidden/>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0C15C7"/>
    <w:rPr>
      <w:noProof w:val="0"/>
      <w:color w:val="FF0000"/>
      <w:sz w:val="20"/>
      <w:lang w:val="en-AU"/>
    </w:rPr>
  </w:style>
  <w:style w:type="paragraph" w:styleId="ListNumber4">
    <w:name w:val="List Number 4"/>
    <w:basedOn w:val="Normal"/>
    <w:uiPriority w:val="16"/>
    <w:rsid w:val="00E57F82"/>
    <w:pPr>
      <w:contextualSpacing/>
    </w:pPr>
  </w:style>
  <w:style w:type="character" w:styleId="Hyperlink">
    <w:name w:val="Hyperlink"/>
    <w:basedOn w:val="DefaultParagraphFont"/>
    <w:uiPriority w:val="99"/>
    <w:rsid w:val="006427FE"/>
    <w:rPr>
      <w:noProof w:val="0"/>
      <w:color w:val="0000FF" w:themeColor="hyperlink"/>
      <w:u w:val="single"/>
      <w:lang w:val="en-AU"/>
    </w:rPr>
  </w:style>
  <w:style w:type="paragraph" w:styleId="Bibliography">
    <w:name w:val="Bibliography"/>
    <w:basedOn w:val="Normal"/>
    <w:next w:val="Normal"/>
    <w:uiPriority w:val="37"/>
    <w:semiHidden/>
    <w:locked/>
    <w:rsid w:val="00F80750"/>
  </w:style>
  <w:style w:type="paragraph" w:styleId="BlockText">
    <w:name w:val="Block Text"/>
    <w:basedOn w:val="Normal"/>
    <w:uiPriority w:val="99"/>
    <w:semiHidden/>
    <w:locked/>
    <w:rsid w:val="00F80750"/>
    <w:pPr>
      <w:pBdr>
        <w:top w:val="single" w:sz="2" w:space="10" w:color="FFDC00" w:themeColor="accent1"/>
        <w:left w:val="single" w:sz="2" w:space="10" w:color="FFDC00" w:themeColor="accent1"/>
        <w:bottom w:val="single" w:sz="2" w:space="10" w:color="FFDC00" w:themeColor="accent1"/>
        <w:right w:val="single" w:sz="2" w:space="10" w:color="FFDC00" w:themeColor="accent1"/>
      </w:pBdr>
      <w:ind w:left="1152" w:right="1152"/>
    </w:pPr>
    <w:rPr>
      <w:rFonts w:eastAsiaTheme="minorEastAsia"/>
      <w:i/>
      <w:iCs/>
      <w:color w:val="FFDC00" w:themeColor="accent1"/>
    </w:rPr>
  </w:style>
  <w:style w:type="paragraph" w:styleId="BodyText">
    <w:name w:val="Body Text"/>
    <w:basedOn w:val="Normal"/>
    <w:link w:val="BodyTextChar"/>
    <w:uiPriority w:val="99"/>
    <w:semiHidden/>
    <w:locked/>
    <w:rsid w:val="00F80750"/>
  </w:style>
  <w:style w:type="character" w:customStyle="1" w:styleId="BodyTextChar">
    <w:name w:val="Body Text Char"/>
    <w:basedOn w:val="DefaultParagraphFont"/>
    <w:link w:val="BodyText"/>
    <w:uiPriority w:val="99"/>
    <w:semiHidden/>
    <w:rsid w:val="00D61D08"/>
  </w:style>
  <w:style w:type="paragraph" w:styleId="BodyText2">
    <w:name w:val="Body Text 2"/>
    <w:basedOn w:val="Normal"/>
    <w:link w:val="BodyText2Char"/>
    <w:uiPriority w:val="99"/>
    <w:semiHidden/>
    <w:locked/>
    <w:rsid w:val="00F80750"/>
    <w:p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BodyText"/>
    <w:link w:val="BodyTextFirstIndentChar"/>
    <w:uiPriority w:val="99"/>
    <w:semiHidden/>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D61D08"/>
  </w:style>
  <w:style w:type="paragraph" w:styleId="BodyTextIndent">
    <w:name w:val="Body Text Indent"/>
    <w:basedOn w:val="Normal"/>
    <w:link w:val="BodyTextIndentChar"/>
    <w:uiPriority w:val="99"/>
    <w:semiHidden/>
    <w:locked/>
    <w:rsid w:val="00F80750"/>
    <w:p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3"/>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8CC" w:themeFill="accent1" w:themeFillTint="33"/>
    </w:tcPr>
    <w:tblStylePr w:type="firstRow">
      <w:rPr>
        <w:b/>
        <w:bCs/>
      </w:rPr>
      <w:tblPr/>
      <w:tcPr>
        <w:shd w:val="clear" w:color="auto" w:fill="FFF199" w:themeFill="accent1" w:themeFillTint="66"/>
      </w:tcPr>
    </w:tblStylePr>
    <w:tblStylePr w:type="lastRow">
      <w:rPr>
        <w:b/>
        <w:bCs/>
        <w:color w:val="000000" w:themeColor="text1"/>
      </w:rPr>
      <w:tblPr/>
      <w:tcPr>
        <w:shd w:val="clear" w:color="auto" w:fill="FFF199" w:themeFill="accent1" w:themeFillTint="66"/>
      </w:tcPr>
    </w:tblStylePr>
    <w:tblStylePr w:type="firstCol">
      <w:rPr>
        <w:color w:val="FFFFFF" w:themeColor="background1"/>
      </w:rPr>
      <w:tblPr/>
      <w:tcPr>
        <w:shd w:val="clear" w:color="auto" w:fill="BFA400" w:themeFill="accent1" w:themeFillShade="BF"/>
      </w:tcPr>
    </w:tblStylePr>
    <w:tblStylePr w:type="lastCol">
      <w:rPr>
        <w:color w:val="FFFFFF" w:themeColor="background1"/>
      </w:rPr>
      <w:tblPr/>
      <w:tcPr>
        <w:shd w:val="clear" w:color="auto" w:fill="BFA400" w:themeFill="accent1" w:themeFillShade="BF"/>
      </w:tcPr>
    </w:tblStylePr>
    <w:tblStylePr w:type="band1Vert">
      <w:tblPr/>
      <w:tcPr>
        <w:shd w:val="clear" w:color="auto" w:fill="FFED80" w:themeFill="accent1" w:themeFillTint="7F"/>
      </w:tcPr>
    </w:tblStylePr>
    <w:tblStylePr w:type="band1Horz">
      <w:tblPr/>
      <w:tcPr>
        <w:shd w:val="clear" w:color="auto" w:fill="FFED80"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DFDE" w:themeFill="accent2" w:themeFillTint="33"/>
    </w:tcPr>
    <w:tblStylePr w:type="firstRow">
      <w:rPr>
        <w:b/>
        <w:bCs/>
      </w:rPr>
      <w:tblPr/>
      <w:tcPr>
        <w:shd w:val="clear" w:color="auto" w:fill="FFC0BE" w:themeFill="accent2" w:themeFillTint="66"/>
      </w:tcPr>
    </w:tblStylePr>
    <w:tblStylePr w:type="lastRow">
      <w:rPr>
        <w:b/>
        <w:bCs/>
        <w:color w:val="000000" w:themeColor="text1"/>
      </w:rPr>
      <w:tblPr/>
      <w:tcPr>
        <w:shd w:val="clear" w:color="auto" w:fill="FFC0BE" w:themeFill="accent2" w:themeFillTint="66"/>
      </w:tcPr>
    </w:tblStylePr>
    <w:tblStylePr w:type="firstCol">
      <w:rPr>
        <w:color w:val="FFFFFF" w:themeColor="background1"/>
      </w:rPr>
      <w:tblPr/>
      <w:tcPr>
        <w:shd w:val="clear" w:color="auto" w:fill="FF0E05" w:themeFill="accent2" w:themeFillShade="BF"/>
      </w:tcPr>
    </w:tblStylePr>
    <w:tblStylePr w:type="lastCol">
      <w:rPr>
        <w:color w:val="FFFFFF" w:themeColor="background1"/>
      </w:rPr>
      <w:tblPr/>
      <w:tcPr>
        <w:shd w:val="clear" w:color="auto" w:fill="FF0E05" w:themeFill="accent2" w:themeFillShade="BF"/>
      </w:tcPr>
    </w:tblStylePr>
    <w:tblStylePr w:type="band1Vert">
      <w:tblPr/>
      <w:tcPr>
        <w:shd w:val="clear" w:color="auto" w:fill="FFB0AE" w:themeFill="accent2" w:themeFillTint="7F"/>
      </w:tcPr>
    </w:tblStylePr>
    <w:tblStylePr w:type="band1Horz">
      <w:tblPr/>
      <w:tcPr>
        <w:shd w:val="clear" w:color="auto" w:fill="FFB0AE"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8DFF3" w:themeFill="accent3" w:themeFillTint="33"/>
    </w:tcPr>
    <w:tblStylePr w:type="firstRow">
      <w:rPr>
        <w:b/>
        <w:bCs/>
      </w:rPr>
      <w:tblPr/>
      <w:tcPr>
        <w:shd w:val="clear" w:color="auto" w:fill="B2BFE7" w:themeFill="accent3" w:themeFillTint="66"/>
      </w:tcPr>
    </w:tblStylePr>
    <w:tblStylePr w:type="lastRow">
      <w:rPr>
        <w:b/>
        <w:bCs/>
        <w:color w:val="000000" w:themeColor="text1"/>
      </w:rPr>
      <w:tblPr/>
      <w:tcPr>
        <w:shd w:val="clear" w:color="auto" w:fill="B2BFE7" w:themeFill="accent3" w:themeFillTint="66"/>
      </w:tcPr>
    </w:tblStylePr>
    <w:tblStylePr w:type="firstCol">
      <w:rPr>
        <w:color w:val="FFFFFF" w:themeColor="background1"/>
      </w:rPr>
      <w:tblPr/>
      <w:tcPr>
        <w:shd w:val="clear" w:color="auto" w:fill="2D4794" w:themeFill="accent3" w:themeFillShade="BF"/>
      </w:tcPr>
    </w:tblStylePr>
    <w:tblStylePr w:type="lastCol">
      <w:rPr>
        <w:color w:val="FFFFFF" w:themeColor="background1"/>
      </w:rPr>
      <w:tblPr/>
      <w:tcPr>
        <w:shd w:val="clear" w:color="auto" w:fill="2D4794" w:themeFill="accent3" w:themeFillShade="BF"/>
      </w:tcPr>
    </w:tblStylePr>
    <w:tblStylePr w:type="band1Vert">
      <w:tblPr/>
      <w:tcPr>
        <w:shd w:val="clear" w:color="auto" w:fill="9FAFE1" w:themeFill="accent3" w:themeFillTint="7F"/>
      </w:tcPr>
    </w:tblStylePr>
    <w:tblStylePr w:type="band1Horz">
      <w:tblPr/>
      <w:tcPr>
        <w:shd w:val="clear" w:color="auto" w:fill="9FAFE1"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CCF8E7" w:themeFill="accent4" w:themeFillTint="33"/>
    </w:tcPr>
    <w:tblStylePr w:type="firstRow">
      <w:rPr>
        <w:b/>
        <w:bCs/>
      </w:rPr>
      <w:tblPr/>
      <w:tcPr>
        <w:shd w:val="clear" w:color="auto" w:fill="9AF2D0" w:themeFill="accent4" w:themeFillTint="66"/>
      </w:tcPr>
    </w:tblStylePr>
    <w:tblStylePr w:type="lastRow">
      <w:rPr>
        <w:b/>
        <w:bCs/>
        <w:color w:val="000000" w:themeColor="text1"/>
      </w:rPr>
      <w:tblPr/>
      <w:tcPr>
        <w:shd w:val="clear" w:color="auto" w:fill="9AF2D0" w:themeFill="accent4" w:themeFillTint="66"/>
      </w:tcPr>
    </w:tblStylePr>
    <w:tblStylePr w:type="firstCol">
      <w:rPr>
        <w:color w:val="FFFFFF" w:themeColor="background1"/>
      </w:rPr>
      <w:tblPr/>
      <w:tcPr>
        <w:shd w:val="clear" w:color="auto" w:fill="139664" w:themeFill="accent4" w:themeFillShade="BF"/>
      </w:tcPr>
    </w:tblStylePr>
    <w:tblStylePr w:type="lastCol">
      <w:rPr>
        <w:color w:val="FFFFFF" w:themeColor="background1"/>
      </w:rPr>
      <w:tblPr/>
      <w:tcPr>
        <w:shd w:val="clear" w:color="auto" w:fill="139664" w:themeFill="accent4" w:themeFillShade="BF"/>
      </w:tcPr>
    </w:tblStylePr>
    <w:tblStylePr w:type="band1Vert">
      <w:tblPr/>
      <w:tcPr>
        <w:shd w:val="clear" w:color="auto" w:fill="82EEC5" w:themeFill="accent4" w:themeFillTint="7F"/>
      </w:tcPr>
    </w:tblStylePr>
    <w:tblStylePr w:type="band1Horz">
      <w:tblPr/>
      <w:tcPr>
        <w:shd w:val="clear" w:color="auto" w:fill="82EEC5"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EE9F0" w:themeFill="accent5" w:themeFillTint="33"/>
    </w:tcPr>
    <w:tblStylePr w:type="firstRow">
      <w:rPr>
        <w:b/>
        <w:bCs/>
      </w:rPr>
      <w:tblPr/>
      <w:tcPr>
        <w:shd w:val="clear" w:color="auto" w:fill="FDD3E1" w:themeFill="accent5" w:themeFillTint="66"/>
      </w:tcPr>
    </w:tblStylePr>
    <w:tblStylePr w:type="lastRow">
      <w:rPr>
        <w:b/>
        <w:bCs/>
        <w:color w:val="000000" w:themeColor="text1"/>
      </w:rPr>
      <w:tblPr/>
      <w:tcPr>
        <w:shd w:val="clear" w:color="auto" w:fill="FDD3E1" w:themeFill="accent5" w:themeFillTint="66"/>
      </w:tcPr>
    </w:tblStylePr>
    <w:tblStylePr w:type="firstCol">
      <w:rPr>
        <w:color w:val="FFFFFF" w:themeColor="background1"/>
      </w:rPr>
      <w:tblPr/>
      <w:tcPr>
        <w:shd w:val="clear" w:color="auto" w:fill="F53276" w:themeFill="accent5" w:themeFillShade="BF"/>
      </w:tcPr>
    </w:tblStylePr>
    <w:tblStylePr w:type="lastCol">
      <w:rPr>
        <w:color w:val="FFFFFF" w:themeColor="background1"/>
      </w:rPr>
      <w:tblPr/>
      <w:tcPr>
        <w:shd w:val="clear" w:color="auto" w:fill="F53276" w:themeFill="accent5" w:themeFillShade="BF"/>
      </w:tcPr>
    </w:tblStylePr>
    <w:tblStylePr w:type="band1Vert">
      <w:tblPr/>
      <w:tcPr>
        <w:shd w:val="clear" w:color="auto" w:fill="FCC8DA" w:themeFill="accent5" w:themeFillTint="7F"/>
      </w:tcPr>
    </w:tblStylePr>
    <w:tblStylePr w:type="band1Horz">
      <w:tblPr/>
      <w:tcPr>
        <w:shd w:val="clear" w:color="auto" w:fill="FCC8DA"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E7E0F4" w:themeFill="accent6" w:themeFillTint="33"/>
    </w:tcPr>
    <w:tblStylePr w:type="firstRow">
      <w:rPr>
        <w:b/>
        <w:bCs/>
      </w:rPr>
      <w:tblPr/>
      <w:tcPr>
        <w:shd w:val="clear" w:color="auto" w:fill="CFC2E9" w:themeFill="accent6" w:themeFillTint="66"/>
      </w:tcPr>
    </w:tblStylePr>
    <w:tblStylePr w:type="lastRow">
      <w:rPr>
        <w:b/>
        <w:bCs/>
        <w:color w:val="000000" w:themeColor="text1"/>
      </w:rPr>
      <w:tblPr/>
      <w:tcPr>
        <w:shd w:val="clear" w:color="auto" w:fill="CFC2E9" w:themeFill="accent6" w:themeFillTint="66"/>
      </w:tcPr>
    </w:tblStylePr>
    <w:tblStylePr w:type="firstCol">
      <w:rPr>
        <w:color w:val="FFFFFF" w:themeColor="background1"/>
      </w:rPr>
      <w:tblPr/>
      <w:tcPr>
        <w:shd w:val="clear" w:color="auto" w:fill="623CA6" w:themeFill="accent6" w:themeFillShade="BF"/>
      </w:tcPr>
    </w:tblStylePr>
    <w:tblStylePr w:type="lastCol">
      <w:rPr>
        <w:color w:val="FFFFFF" w:themeColor="background1"/>
      </w:rPr>
      <w:tblPr/>
      <w:tcPr>
        <w:shd w:val="clear" w:color="auto" w:fill="623CA6" w:themeFill="accent6" w:themeFillShade="BF"/>
      </w:tcPr>
    </w:tblStylePr>
    <w:tblStylePr w:type="band1Vert">
      <w:tblPr/>
      <w:tcPr>
        <w:shd w:val="clear" w:color="auto" w:fill="C4B3E3" w:themeFill="accent6" w:themeFillTint="7F"/>
      </w:tcPr>
    </w:tblStylePr>
    <w:tblStylePr w:type="band1Horz">
      <w:tblPr/>
      <w:tcPr>
        <w:shd w:val="clear" w:color="auto" w:fill="C4B3E3"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1F17" w:themeFill="accent2" w:themeFillShade="CC"/>
      </w:tcPr>
    </w:tblStylePr>
    <w:tblStylePr w:type="lastRow">
      <w:rPr>
        <w:b/>
        <w:bCs/>
        <w:color w:val="FF1F1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FFBE6" w:themeFill="accent1" w:themeFillTint="19"/>
    </w:tcPr>
    <w:tblStylePr w:type="firstRow">
      <w:rPr>
        <w:b/>
        <w:bCs/>
        <w:color w:val="FFFFFF" w:themeColor="background1"/>
      </w:rPr>
      <w:tblPr/>
      <w:tcPr>
        <w:tcBorders>
          <w:bottom w:val="single" w:sz="12" w:space="0" w:color="FFFFFF" w:themeColor="background1"/>
        </w:tcBorders>
        <w:shd w:val="clear" w:color="auto" w:fill="FF1F17" w:themeFill="accent2" w:themeFillShade="CC"/>
      </w:tcPr>
    </w:tblStylePr>
    <w:tblStylePr w:type="lastRow">
      <w:rPr>
        <w:b/>
        <w:bCs/>
        <w:color w:val="FF1F1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C0" w:themeFill="accent1" w:themeFillTint="3F"/>
      </w:tcPr>
    </w:tblStylePr>
    <w:tblStylePr w:type="band1Horz">
      <w:tblPr/>
      <w:tcPr>
        <w:shd w:val="clear" w:color="auto" w:fill="FFF8CC"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FFEFEF" w:themeFill="accent2" w:themeFillTint="19"/>
    </w:tcPr>
    <w:tblStylePr w:type="firstRow">
      <w:rPr>
        <w:b/>
        <w:bCs/>
        <w:color w:val="FFFFFF" w:themeColor="background1"/>
      </w:rPr>
      <w:tblPr/>
      <w:tcPr>
        <w:tcBorders>
          <w:bottom w:val="single" w:sz="12" w:space="0" w:color="FFFFFF" w:themeColor="background1"/>
        </w:tcBorders>
        <w:shd w:val="clear" w:color="auto" w:fill="FF1F17" w:themeFill="accent2" w:themeFillShade="CC"/>
      </w:tcPr>
    </w:tblStylePr>
    <w:tblStylePr w:type="lastRow">
      <w:rPr>
        <w:b/>
        <w:bCs/>
        <w:color w:val="FF1F1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D6" w:themeFill="accent2" w:themeFillTint="3F"/>
      </w:tcPr>
    </w:tblStylePr>
    <w:tblStylePr w:type="band1Horz">
      <w:tblPr/>
      <w:tcPr>
        <w:shd w:val="clear" w:color="auto" w:fill="FFDFDE"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ECEFF9" w:themeFill="accent3" w:themeFillTint="19"/>
    </w:tcPr>
    <w:tblStylePr w:type="firstRow">
      <w:rPr>
        <w:b/>
        <w:bCs/>
        <w:color w:val="FFFFFF" w:themeColor="background1"/>
      </w:rPr>
      <w:tblPr/>
      <w:tcPr>
        <w:tcBorders>
          <w:bottom w:val="single" w:sz="12" w:space="0" w:color="FFFFFF" w:themeColor="background1"/>
        </w:tcBorders>
        <w:shd w:val="clear" w:color="auto" w:fill="14A06B" w:themeFill="accent4" w:themeFillShade="CC"/>
      </w:tcPr>
    </w:tblStylePr>
    <w:tblStylePr w:type="lastRow">
      <w:rPr>
        <w:b/>
        <w:bCs/>
        <w:color w:val="14A06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7F0" w:themeFill="accent3" w:themeFillTint="3F"/>
      </w:tcPr>
    </w:tblStylePr>
    <w:tblStylePr w:type="band1Horz">
      <w:tblPr/>
      <w:tcPr>
        <w:shd w:val="clear" w:color="auto" w:fill="D8DFF3"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E6FBF3" w:themeFill="accent4" w:themeFillTint="19"/>
    </w:tcPr>
    <w:tblStylePr w:type="firstRow">
      <w:rPr>
        <w:b/>
        <w:bCs/>
        <w:color w:val="FFFFFF" w:themeColor="background1"/>
      </w:rPr>
      <w:tblPr/>
      <w:tcPr>
        <w:tcBorders>
          <w:bottom w:val="single" w:sz="12" w:space="0" w:color="FFFFFF" w:themeColor="background1"/>
        </w:tcBorders>
        <w:shd w:val="clear" w:color="auto" w:fill="304C9E" w:themeFill="accent3" w:themeFillShade="CC"/>
      </w:tcPr>
    </w:tblStylePr>
    <w:tblStylePr w:type="lastRow">
      <w:rPr>
        <w:b/>
        <w:bCs/>
        <w:color w:val="304C9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F7E2" w:themeFill="accent4" w:themeFillTint="3F"/>
      </w:tcPr>
    </w:tblStylePr>
    <w:tblStylePr w:type="band1Horz">
      <w:tblPr/>
      <w:tcPr>
        <w:shd w:val="clear" w:color="auto" w:fill="CCF8E7"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EF4F7" w:themeFill="accent5" w:themeFillTint="19"/>
    </w:tcPr>
    <w:tblStylePr w:type="firstRow">
      <w:rPr>
        <w:b/>
        <w:bCs/>
        <w:color w:val="FFFFFF" w:themeColor="background1"/>
      </w:rPr>
      <w:tblPr/>
      <w:tcPr>
        <w:tcBorders>
          <w:bottom w:val="single" w:sz="12" w:space="0" w:color="FFFFFF" w:themeColor="background1"/>
        </w:tcBorders>
        <w:shd w:val="clear" w:color="auto" w:fill="6841B2" w:themeFill="accent6" w:themeFillShade="CC"/>
      </w:tcPr>
    </w:tblStylePr>
    <w:tblStylePr w:type="lastRow">
      <w:rPr>
        <w:b/>
        <w:bCs/>
        <w:color w:val="6841B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3EC" w:themeFill="accent5" w:themeFillTint="3F"/>
      </w:tcPr>
    </w:tblStylePr>
    <w:tblStylePr w:type="band1Horz">
      <w:tblPr/>
      <w:tcPr>
        <w:shd w:val="clear" w:color="auto" w:fill="FEE9F0"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3F0F9" w:themeFill="accent6" w:themeFillTint="19"/>
    </w:tcPr>
    <w:tblStylePr w:type="firstRow">
      <w:rPr>
        <w:b/>
        <w:bCs/>
        <w:color w:val="FFFFFF" w:themeColor="background1"/>
      </w:rPr>
      <w:tblPr/>
      <w:tcPr>
        <w:tcBorders>
          <w:bottom w:val="single" w:sz="12" w:space="0" w:color="FFFFFF" w:themeColor="background1"/>
        </w:tcBorders>
        <w:shd w:val="clear" w:color="auto" w:fill="F64583" w:themeFill="accent5" w:themeFillShade="CC"/>
      </w:tcPr>
    </w:tblStylePr>
    <w:tblStylePr w:type="lastRow">
      <w:rPr>
        <w:b/>
        <w:bCs/>
        <w:color w:val="F6458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9F1" w:themeFill="accent6" w:themeFillTint="3F"/>
      </w:tcPr>
    </w:tblStylePr>
    <w:tblStylePr w:type="band1Horz">
      <w:tblPr/>
      <w:tcPr>
        <w:shd w:val="clear" w:color="auto" w:fill="E7E0F4"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FF635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635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FF635D" w:themeColor="accent2"/>
        <w:left w:val="single" w:sz="4" w:space="0" w:color="FFDC00" w:themeColor="accent1"/>
        <w:bottom w:val="single" w:sz="4" w:space="0" w:color="FFDC00" w:themeColor="accent1"/>
        <w:right w:val="single" w:sz="4" w:space="0" w:color="FFDC00" w:themeColor="accent1"/>
        <w:insideH w:val="single" w:sz="4" w:space="0" w:color="FFFFFF" w:themeColor="background1"/>
        <w:insideV w:val="single" w:sz="4" w:space="0" w:color="FFFFFF" w:themeColor="background1"/>
      </w:tblBorders>
    </w:tblPr>
    <w:tcPr>
      <w:shd w:val="clear" w:color="auto" w:fill="FFFBE6" w:themeFill="accent1" w:themeFillTint="19"/>
    </w:tcPr>
    <w:tblStylePr w:type="firstRow">
      <w:rPr>
        <w:b/>
        <w:bCs/>
      </w:rPr>
      <w:tblPr/>
      <w:tcPr>
        <w:tcBorders>
          <w:top w:val="nil"/>
          <w:left w:val="nil"/>
          <w:bottom w:val="single" w:sz="24" w:space="0" w:color="FF635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400" w:themeFill="accent1" w:themeFillShade="99"/>
      </w:tcPr>
    </w:tblStylePr>
    <w:tblStylePr w:type="firstCol">
      <w:rPr>
        <w:color w:val="FFFFFF" w:themeColor="background1"/>
      </w:rPr>
      <w:tblPr/>
      <w:tcPr>
        <w:tcBorders>
          <w:top w:val="nil"/>
          <w:left w:val="nil"/>
          <w:bottom w:val="nil"/>
          <w:right w:val="nil"/>
          <w:insideH w:val="single" w:sz="4" w:space="0" w:color="998400" w:themeColor="accent1" w:themeShade="99"/>
          <w:insideV w:val="nil"/>
        </w:tcBorders>
        <w:shd w:val="clear" w:color="auto" w:fill="998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8400" w:themeFill="accent1" w:themeFillShade="99"/>
      </w:tcPr>
    </w:tblStylePr>
    <w:tblStylePr w:type="band1Vert">
      <w:tblPr/>
      <w:tcPr>
        <w:shd w:val="clear" w:color="auto" w:fill="FFF199" w:themeFill="accent1" w:themeFillTint="66"/>
      </w:tcPr>
    </w:tblStylePr>
    <w:tblStylePr w:type="band1Horz">
      <w:tblPr/>
      <w:tcPr>
        <w:shd w:val="clear" w:color="auto" w:fill="FFED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FF635D" w:themeColor="accent2"/>
        <w:left w:val="single" w:sz="4" w:space="0" w:color="FF635D" w:themeColor="accent2"/>
        <w:bottom w:val="single" w:sz="4" w:space="0" w:color="FF635D" w:themeColor="accent2"/>
        <w:right w:val="single" w:sz="4" w:space="0" w:color="FF635D" w:themeColor="accent2"/>
        <w:insideH w:val="single" w:sz="4" w:space="0" w:color="FFFFFF" w:themeColor="background1"/>
        <w:insideV w:val="single" w:sz="4" w:space="0" w:color="FFFFFF" w:themeColor="background1"/>
      </w:tblBorders>
    </w:tblPr>
    <w:tcPr>
      <w:shd w:val="clear" w:color="auto" w:fill="FFEFEF" w:themeFill="accent2" w:themeFillTint="19"/>
    </w:tcPr>
    <w:tblStylePr w:type="firstRow">
      <w:rPr>
        <w:b/>
        <w:bCs/>
      </w:rPr>
      <w:tblPr/>
      <w:tcPr>
        <w:tcBorders>
          <w:top w:val="nil"/>
          <w:left w:val="nil"/>
          <w:bottom w:val="single" w:sz="24" w:space="0" w:color="FF635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00700" w:themeFill="accent2" w:themeFillShade="99"/>
      </w:tcPr>
    </w:tblStylePr>
    <w:tblStylePr w:type="firstCol">
      <w:rPr>
        <w:color w:val="FFFFFF" w:themeColor="background1"/>
      </w:rPr>
      <w:tblPr/>
      <w:tcPr>
        <w:tcBorders>
          <w:top w:val="nil"/>
          <w:left w:val="nil"/>
          <w:bottom w:val="nil"/>
          <w:right w:val="nil"/>
          <w:insideH w:val="single" w:sz="4" w:space="0" w:color="D00700" w:themeColor="accent2" w:themeShade="99"/>
          <w:insideV w:val="nil"/>
        </w:tcBorders>
        <w:shd w:val="clear" w:color="auto" w:fill="D007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00700" w:themeFill="accent2" w:themeFillShade="99"/>
      </w:tcPr>
    </w:tblStylePr>
    <w:tblStylePr w:type="band1Vert">
      <w:tblPr/>
      <w:tcPr>
        <w:shd w:val="clear" w:color="auto" w:fill="FFC0BE" w:themeFill="accent2" w:themeFillTint="66"/>
      </w:tcPr>
    </w:tblStylePr>
    <w:tblStylePr w:type="band1Horz">
      <w:tblPr/>
      <w:tcPr>
        <w:shd w:val="clear" w:color="auto" w:fill="FFB0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1AC987" w:themeColor="accent4"/>
        <w:left w:val="single" w:sz="4" w:space="0" w:color="3F61C4" w:themeColor="accent3"/>
        <w:bottom w:val="single" w:sz="4" w:space="0" w:color="3F61C4" w:themeColor="accent3"/>
        <w:right w:val="single" w:sz="4" w:space="0" w:color="3F61C4" w:themeColor="accent3"/>
        <w:insideH w:val="single" w:sz="4" w:space="0" w:color="FFFFFF" w:themeColor="background1"/>
        <w:insideV w:val="single" w:sz="4" w:space="0" w:color="FFFFFF" w:themeColor="background1"/>
      </w:tblBorders>
    </w:tblPr>
    <w:tcPr>
      <w:shd w:val="clear" w:color="auto" w:fill="ECEFF9" w:themeFill="accent3" w:themeFillTint="19"/>
    </w:tcPr>
    <w:tblStylePr w:type="firstRow">
      <w:rPr>
        <w:b/>
        <w:bCs/>
      </w:rPr>
      <w:tblPr/>
      <w:tcPr>
        <w:tcBorders>
          <w:top w:val="nil"/>
          <w:left w:val="nil"/>
          <w:bottom w:val="single" w:sz="24" w:space="0" w:color="1AC9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976" w:themeFill="accent3" w:themeFillShade="99"/>
      </w:tcPr>
    </w:tblStylePr>
    <w:tblStylePr w:type="firstCol">
      <w:rPr>
        <w:color w:val="FFFFFF" w:themeColor="background1"/>
      </w:rPr>
      <w:tblPr/>
      <w:tcPr>
        <w:tcBorders>
          <w:top w:val="nil"/>
          <w:left w:val="nil"/>
          <w:bottom w:val="nil"/>
          <w:right w:val="nil"/>
          <w:insideH w:val="single" w:sz="4" w:space="0" w:color="243976" w:themeColor="accent3" w:themeShade="99"/>
          <w:insideV w:val="nil"/>
        </w:tcBorders>
        <w:shd w:val="clear" w:color="auto" w:fill="24397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976" w:themeFill="accent3" w:themeFillShade="99"/>
      </w:tcPr>
    </w:tblStylePr>
    <w:tblStylePr w:type="band1Vert">
      <w:tblPr/>
      <w:tcPr>
        <w:shd w:val="clear" w:color="auto" w:fill="B2BFE7" w:themeFill="accent3" w:themeFillTint="66"/>
      </w:tcPr>
    </w:tblStylePr>
    <w:tblStylePr w:type="band1Horz">
      <w:tblPr/>
      <w:tcPr>
        <w:shd w:val="clear" w:color="auto" w:fill="9FAFE1"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3F61C4" w:themeColor="accent3"/>
        <w:left w:val="single" w:sz="4" w:space="0" w:color="1AC987" w:themeColor="accent4"/>
        <w:bottom w:val="single" w:sz="4" w:space="0" w:color="1AC987" w:themeColor="accent4"/>
        <w:right w:val="single" w:sz="4" w:space="0" w:color="1AC987" w:themeColor="accent4"/>
        <w:insideH w:val="single" w:sz="4" w:space="0" w:color="FFFFFF" w:themeColor="background1"/>
        <w:insideV w:val="single" w:sz="4" w:space="0" w:color="FFFFFF" w:themeColor="background1"/>
      </w:tblBorders>
    </w:tblPr>
    <w:tcPr>
      <w:shd w:val="clear" w:color="auto" w:fill="E6FBF3" w:themeFill="accent4" w:themeFillTint="19"/>
    </w:tcPr>
    <w:tblStylePr w:type="firstRow">
      <w:rPr>
        <w:b/>
        <w:bCs/>
      </w:rPr>
      <w:tblPr/>
      <w:tcPr>
        <w:tcBorders>
          <w:top w:val="nil"/>
          <w:left w:val="nil"/>
          <w:bottom w:val="single" w:sz="24" w:space="0" w:color="3F61C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7850" w:themeFill="accent4" w:themeFillShade="99"/>
      </w:tcPr>
    </w:tblStylePr>
    <w:tblStylePr w:type="firstCol">
      <w:rPr>
        <w:color w:val="FFFFFF" w:themeColor="background1"/>
      </w:rPr>
      <w:tblPr/>
      <w:tcPr>
        <w:tcBorders>
          <w:top w:val="nil"/>
          <w:left w:val="nil"/>
          <w:bottom w:val="nil"/>
          <w:right w:val="nil"/>
          <w:insideH w:val="single" w:sz="4" w:space="0" w:color="0F7850" w:themeColor="accent4" w:themeShade="99"/>
          <w:insideV w:val="nil"/>
        </w:tcBorders>
        <w:shd w:val="clear" w:color="auto" w:fill="0F785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F7850" w:themeFill="accent4" w:themeFillShade="99"/>
      </w:tcPr>
    </w:tblStylePr>
    <w:tblStylePr w:type="band1Vert">
      <w:tblPr/>
      <w:tcPr>
        <w:shd w:val="clear" w:color="auto" w:fill="9AF2D0" w:themeFill="accent4" w:themeFillTint="66"/>
      </w:tcPr>
    </w:tblStylePr>
    <w:tblStylePr w:type="band1Horz">
      <w:tblPr/>
      <w:tcPr>
        <w:shd w:val="clear" w:color="auto" w:fill="82EEC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8A68C8" w:themeColor="accent6"/>
        <w:left w:val="single" w:sz="4" w:space="0" w:color="FA91B6" w:themeColor="accent5"/>
        <w:bottom w:val="single" w:sz="4" w:space="0" w:color="FA91B6" w:themeColor="accent5"/>
        <w:right w:val="single" w:sz="4" w:space="0" w:color="FA91B6" w:themeColor="accent5"/>
        <w:insideH w:val="single" w:sz="4" w:space="0" w:color="FFFFFF" w:themeColor="background1"/>
        <w:insideV w:val="single" w:sz="4" w:space="0" w:color="FFFFFF" w:themeColor="background1"/>
      </w:tblBorders>
    </w:tblPr>
    <w:tcPr>
      <w:shd w:val="clear" w:color="auto" w:fill="FEF4F7" w:themeFill="accent5" w:themeFillTint="19"/>
    </w:tcPr>
    <w:tblStylePr w:type="firstRow">
      <w:rPr>
        <w:b/>
        <w:bCs/>
      </w:rPr>
      <w:tblPr/>
      <w:tcPr>
        <w:tcBorders>
          <w:top w:val="nil"/>
          <w:left w:val="nil"/>
          <w:bottom w:val="single" w:sz="24" w:space="0" w:color="8A6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0A55" w:themeFill="accent5" w:themeFillShade="99"/>
      </w:tcPr>
    </w:tblStylePr>
    <w:tblStylePr w:type="firstCol">
      <w:rPr>
        <w:color w:val="FFFFFF" w:themeColor="background1"/>
      </w:rPr>
      <w:tblPr/>
      <w:tcPr>
        <w:tcBorders>
          <w:top w:val="nil"/>
          <w:left w:val="nil"/>
          <w:bottom w:val="nil"/>
          <w:right w:val="nil"/>
          <w:insideH w:val="single" w:sz="4" w:space="0" w:color="E20A55" w:themeColor="accent5" w:themeShade="99"/>
          <w:insideV w:val="nil"/>
        </w:tcBorders>
        <w:shd w:val="clear" w:color="auto" w:fill="E20A5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E20A55" w:themeFill="accent5" w:themeFillShade="99"/>
      </w:tcPr>
    </w:tblStylePr>
    <w:tblStylePr w:type="band1Vert">
      <w:tblPr/>
      <w:tcPr>
        <w:shd w:val="clear" w:color="auto" w:fill="FDD3E1" w:themeFill="accent5" w:themeFillTint="66"/>
      </w:tcPr>
    </w:tblStylePr>
    <w:tblStylePr w:type="band1Horz">
      <w:tblPr/>
      <w:tcPr>
        <w:shd w:val="clear" w:color="auto" w:fill="FCC8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FA91B6" w:themeColor="accent5"/>
        <w:left w:val="single" w:sz="4" w:space="0" w:color="8A68C8" w:themeColor="accent6"/>
        <w:bottom w:val="single" w:sz="4" w:space="0" w:color="8A68C8" w:themeColor="accent6"/>
        <w:right w:val="single" w:sz="4" w:space="0" w:color="8A68C8" w:themeColor="accent6"/>
        <w:insideH w:val="single" w:sz="4" w:space="0" w:color="FFFFFF" w:themeColor="background1"/>
        <w:insideV w:val="single" w:sz="4" w:space="0" w:color="FFFFFF" w:themeColor="background1"/>
      </w:tblBorders>
    </w:tblPr>
    <w:tcPr>
      <w:shd w:val="clear" w:color="auto" w:fill="F3F0F9" w:themeFill="accent6" w:themeFillTint="19"/>
    </w:tcPr>
    <w:tblStylePr w:type="firstRow">
      <w:rPr>
        <w:b/>
        <w:bCs/>
      </w:rPr>
      <w:tblPr/>
      <w:tcPr>
        <w:tcBorders>
          <w:top w:val="nil"/>
          <w:left w:val="nil"/>
          <w:bottom w:val="single" w:sz="24" w:space="0" w:color="FA91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3085" w:themeFill="accent6" w:themeFillShade="99"/>
      </w:tcPr>
    </w:tblStylePr>
    <w:tblStylePr w:type="firstCol">
      <w:rPr>
        <w:color w:val="FFFFFF" w:themeColor="background1"/>
      </w:rPr>
      <w:tblPr/>
      <w:tcPr>
        <w:tcBorders>
          <w:top w:val="nil"/>
          <w:left w:val="nil"/>
          <w:bottom w:val="nil"/>
          <w:right w:val="nil"/>
          <w:insideH w:val="single" w:sz="4" w:space="0" w:color="4E3085" w:themeColor="accent6" w:themeShade="99"/>
          <w:insideV w:val="nil"/>
        </w:tcBorders>
        <w:shd w:val="clear" w:color="auto" w:fill="4E308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E3085" w:themeFill="accent6" w:themeFillShade="99"/>
      </w:tcPr>
    </w:tblStylePr>
    <w:tblStylePr w:type="band1Vert">
      <w:tblPr/>
      <w:tcPr>
        <w:shd w:val="clear" w:color="auto" w:fill="CFC2E9" w:themeFill="accent6" w:themeFillTint="66"/>
      </w:tcPr>
    </w:tblStylePr>
    <w:tblStylePr w:type="band1Horz">
      <w:tblPr/>
      <w:tcPr>
        <w:shd w:val="clear" w:color="auto" w:fill="C4B3E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locked/>
    <w:rsid w:val="00F80750"/>
    <w:pPr>
      <w:spacing w:line="240" w:lineRule="auto"/>
    </w:pPr>
  </w:style>
  <w:style w:type="character" w:customStyle="1" w:styleId="CommentTextChar">
    <w:name w:val="Comment Text Char"/>
    <w:basedOn w:val="DefaultParagraphFont"/>
    <w:link w:val="CommentText"/>
    <w:uiPriority w:val="99"/>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D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A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A400" w:themeFill="accent1" w:themeFillShade="BF"/>
      </w:tcPr>
    </w:tblStylePr>
    <w:tblStylePr w:type="band1Vert">
      <w:tblPr/>
      <w:tcPr>
        <w:tcBorders>
          <w:top w:val="nil"/>
          <w:left w:val="nil"/>
          <w:bottom w:val="nil"/>
          <w:right w:val="nil"/>
          <w:insideH w:val="nil"/>
          <w:insideV w:val="nil"/>
        </w:tcBorders>
        <w:shd w:val="clear" w:color="auto" w:fill="BFA400" w:themeFill="accent1" w:themeFillShade="BF"/>
      </w:tcPr>
    </w:tblStylePr>
    <w:tblStylePr w:type="band1Horz">
      <w:tblPr/>
      <w:tcPr>
        <w:tcBorders>
          <w:top w:val="nil"/>
          <w:left w:val="nil"/>
          <w:bottom w:val="nil"/>
          <w:right w:val="nil"/>
          <w:insideH w:val="nil"/>
          <w:insideV w:val="nil"/>
        </w:tcBorders>
        <w:shd w:val="clear" w:color="auto" w:fill="BFA400"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635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D06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0E0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0E05" w:themeFill="accent2" w:themeFillShade="BF"/>
      </w:tcPr>
    </w:tblStylePr>
    <w:tblStylePr w:type="band1Vert">
      <w:tblPr/>
      <w:tcPr>
        <w:tcBorders>
          <w:top w:val="nil"/>
          <w:left w:val="nil"/>
          <w:bottom w:val="nil"/>
          <w:right w:val="nil"/>
          <w:insideH w:val="nil"/>
          <w:insideV w:val="nil"/>
        </w:tcBorders>
        <w:shd w:val="clear" w:color="auto" w:fill="FF0E05" w:themeFill="accent2" w:themeFillShade="BF"/>
      </w:tcPr>
    </w:tblStylePr>
    <w:tblStylePr w:type="band1Horz">
      <w:tblPr/>
      <w:tcPr>
        <w:tcBorders>
          <w:top w:val="nil"/>
          <w:left w:val="nil"/>
          <w:bottom w:val="nil"/>
          <w:right w:val="nil"/>
          <w:insideH w:val="nil"/>
          <w:insideV w:val="nil"/>
        </w:tcBorders>
        <w:shd w:val="clear" w:color="auto" w:fill="FF0E0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3F61C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F6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79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794" w:themeFill="accent3" w:themeFillShade="BF"/>
      </w:tcPr>
    </w:tblStylePr>
    <w:tblStylePr w:type="band1Vert">
      <w:tblPr/>
      <w:tcPr>
        <w:tcBorders>
          <w:top w:val="nil"/>
          <w:left w:val="nil"/>
          <w:bottom w:val="nil"/>
          <w:right w:val="nil"/>
          <w:insideH w:val="nil"/>
          <w:insideV w:val="nil"/>
        </w:tcBorders>
        <w:shd w:val="clear" w:color="auto" w:fill="2D4794" w:themeFill="accent3" w:themeFillShade="BF"/>
      </w:tcPr>
    </w:tblStylePr>
    <w:tblStylePr w:type="band1Horz">
      <w:tblPr/>
      <w:tcPr>
        <w:tcBorders>
          <w:top w:val="nil"/>
          <w:left w:val="nil"/>
          <w:bottom w:val="nil"/>
          <w:right w:val="nil"/>
          <w:insideH w:val="nil"/>
          <w:insideV w:val="nil"/>
        </w:tcBorders>
        <w:shd w:val="clear" w:color="auto" w:fill="2D4794"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1AC9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44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3966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39664" w:themeFill="accent4" w:themeFillShade="BF"/>
      </w:tcPr>
    </w:tblStylePr>
    <w:tblStylePr w:type="band1Vert">
      <w:tblPr/>
      <w:tcPr>
        <w:tcBorders>
          <w:top w:val="nil"/>
          <w:left w:val="nil"/>
          <w:bottom w:val="nil"/>
          <w:right w:val="nil"/>
          <w:insideH w:val="nil"/>
          <w:insideV w:val="nil"/>
        </w:tcBorders>
        <w:shd w:val="clear" w:color="auto" w:fill="139664" w:themeFill="accent4" w:themeFillShade="BF"/>
      </w:tcPr>
    </w:tblStylePr>
    <w:tblStylePr w:type="band1Horz">
      <w:tblPr/>
      <w:tcPr>
        <w:tcBorders>
          <w:top w:val="nil"/>
          <w:left w:val="nil"/>
          <w:bottom w:val="nil"/>
          <w:right w:val="nil"/>
          <w:insideH w:val="nil"/>
          <w:insideV w:val="nil"/>
        </w:tcBorders>
        <w:shd w:val="clear" w:color="auto" w:fill="139664"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FA91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C084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53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53276" w:themeFill="accent5" w:themeFillShade="BF"/>
      </w:tcPr>
    </w:tblStylePr>
    <w:tblStylePr w:type="band1Vert">
      <w:tblPr/>
      <w:tcPr>
        <w:tcBorders>
          <w:top w:val="nil"/>
          <w:left w:val="nil"/>
          <w:bottom w:val="nil"/>
          <w:right w:val="nil"/>
          <w:insideH w:val="nil"/>
          <w:insideV w:val="nil"/>
        </w:tcBorders>
        <w:shd w:val="clear" w:color="auto" w:fill="F53276" w:themeFill="accent5" w:themeFillShade="BF"/>
      </w:tcPr>
    </w:tblStylePr>
    <w:tblStylePr w:type="band1Horz">
      <w:tblPr/>
      <w:tcPr>
        <w:tcBorders>
          <w:top w:val="nil"/>
          <w:left w:val="nil"/>
          <w:bottom w:val="nil"/>
          <w:right w:val="nil"/>
          <w:insideH w:val="nil"/>
          <w:insideV w:val="nil"/>
        </w:tcBorders>
        <w:shd w:val="clear" w:color="auto" w:fill="F53276"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8A6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286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23C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23CA6" w:themeFill="accent6" w:themeFillShade="BF"/>
      </w:tcPr>
    </w:tblStylePr>
    <w:tblStylePr w:type="band1Vert">
      <w:tblPr/>
      <w:tcPr>
        <w:tcBorders>
          <w:top w:val="nil"/>
          <w:left w:val="nil"/>
          <w:bottom w:val="nil"/>
          <w:right w:val="nil"/>
          <w:insideH w:val="nil"/>
          <w:insideV w:val="nil"/>
        </w:tcBorders>
        <w:shd w:val="clear" w:color="auto" w:fill="623CA6" w:themeFill="accent6" w:themeFillShade="BF"/>
      </w:tcPr>
    </w:tblStylePr>
    <w:tblStylePr w:type="band1Horz">
      <w:tblPr/>
      <w:tcPr>
        <w:tcBorders>
          <w:top w:val="nil"/>
          <w:left w:val="nil"/>
          <w:bottom w:val="nil"/>
          <w:right w:val="nil"/>
          <w:insideH w:val="nil"/>
          <w:insideV w:val="nil"/>
        </w:tcBorders>
        <w:shd w:val="clear" w:color="auto" w:fill="623CA6" w:themeFill="accent6" w:themeFillShade="BF"/>
      </w:tcPr>
    </w:tblStylePr>
  </w:style>
  <w:style w:type="paragraph" w:styleId="Date">
    <w:name w:val="Date"/>
    <w:basedOn w:val="Normal"/>
    <w:next w:val="Normal"/>
    <w:link w:val="DateChar"/>
    <w:uiPriority w:val="37"/>
    <w:locked/>
    <w:rsid w:val="00445E9C"/>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7030A0" w:themeColor="followedHyperlink"/>
      <w:u w:val="single"/>
      <w:lang w:val="en-AU"/>
    </w:rPr>
  </w:style>
  <w:style w:type="character" w:styleId="FootnoteReference">
    <w:name w:val="footnote referenc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BA2941"/>
    <w:p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D50E39"/>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D50E39"/>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D50E39"/>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D50E39"/>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D50E39"/>
    <w:rPr>
      <w:rFonts w:asciiTheme="majorHAnsi" w:eastAsiaTheme="majorEastAsia" w:hAnsiTheme="majorHAnsi" w:cstheme="majorBidi"/>
      <w:iCs/>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spacing w:after="0" w:line="240" w:lineRule="auto"/>
      <w:ind w:left="190" w:hanging="190"/>
    </w:pPr>
  </w:style>
  <w:style w:type="paragraph" w:styleId="Index2">
    <w:name w:val="index 2"/>
    <w:basedOn w:val="Normal"/>
    <w:next w:val="Normal"/>
    <w:autoRedefine/>
    <w:uiPriority w:val="99"/>
    <w:semiHidden/>
    <w:locked/>
    <w:rsid w:val="00F80750"/>
    <w:pPr>
      <w:spacing w:after="0" w:line="240" w:lineRule="auto"/>
      <w:ind w:left="380" w:hanging="190"/>
    </w:pPr>
  </w:style>
  <w:style w:type="paragraph" w:styleId="Index3">
    <w:name w:val="index 3"/>
    <w:basedOn w:val="Normal"/>
    <w:next w:val="Normal"/>
    <w:autoRedefine/>
    <w:uiPriority w:val="99"/>
    <w:semiHidden/>
    <w:locked/>
    <w:rsid w:val="00F80750"/>
    <w:pPr>
      <w:spacing w:after="0" w:line="240" w:lineRule="auto"/>
      <w:ind w:left="570" w:hanging="190"/>
    </w:pPr>
  </w:style>
  <w:style w:type="paragraph" w:styleId="Index4">
    <w:name w:val="index 4"/>
    <w:basedOn w:val="Normal"/>
    <w:next w:val="Normal"/>
    <w:autoRedefine/>
    <w:uiPriority w:val="99"/>
    <w:semiHidden/>
    <w:locked/>
    <w:rsid w:val="00F80750"/>
    <w:pPr>
      <w:spacing w:after="0" w:line="240" w:lineRule="auto"/>
      <w:ind w:left="760" w:hanging="190"/>
    </w:pPr>
  </w:style>
  <w:style w:type="paragraph" w:styleId="Index5">
    <w:name w:val="index 5"/>
    <w:basedOn w:val="Normal"/>
    <w:next w:val="Normal"/>
    <w:autoRedefine/>
    <w:uiPriority w:val="99"/>
    <w:semiHidden/>
    <w:locked/>
    <w:rsid w:val="00F80750"/>
    <w:pPr>
      <w:spacing w:after="0" w:line="240" w:lineRule="auto"/>
      <w:ind w:left="950" w:hanging="190"/>
    </w:pPr>
  </w:style>
  <w:style w:type="paragraph" w:styleId="Index6">
    <w:name w:val="index 6"/>
    <w:basedOn w:val="Normal"/>
    <w:next w:val="Normal"/>
    <w:autoRedefine/>
    <w:uiPriority w:val="99"/>
    <w:semiHidden/>
    <w:locked/>
    <w:rsid w:val="00F80750"/>
    <w:pPr>
      <w:spacing w:after="0" w:line="240" w:lineRule="auto"/>
      <w:ind w:left="1140" w:hanging="190"/>
    </w:pPr>
  </w:style>
  <w:style w:type="paragraph" w:styleId="Index7">
    <w:name w:val="index 7"/>
    <w:basedOn w:val="Normal"/>
    <w:next w:val="Normal"/>
    <w:autoRedefine/>
    <w:uiPriority w:val="99"/>
    <w:semiHidden/>
    <w:locked/>
    <w:rsid w:val="00F80750"/>
    <w:pPr>
      <w:spacing w:after="0" w:line="240" w:lineRule="auto"/>
      <w:ind w:left="1330" w:hanging="190"/>
    </w:pPr>
  </w:style>
  <w:style w:type="paragraph" w:styleId="Index8">
    <w:name w:val="index 8"/>
    <w:basedOn w:val="Normal"/>
    <w:next w:val="Normal"/>
    <w:autoRedefine/>
    <w:uiPriority w:val="99"/>
    <w:semiHidden/>
    <w:locked/>
    <w:rsid w:val="00F80750"/>
    <w:pPr>
      <w:spacing w:after="0" w:line="240" w:lineRule="auto"/>
      <w:ind w:left="1520" w:hanging="190"/>
    </w:pPr>
  </w:style>
  <w:style w:type="paragraph" w:styleId="Index9">
    <w:name w:val="index 9"/>
    <w:basedOn w:val="Normal"/>
    <w:next w:val="Normal"/>
    <w:autoRedefine/>
    <w:uiPriority w:val="99"/>
    <w:semiHidden/>
    <w:locked/>
    <w:rsid w:val="00F80750"/>
    <w:pPr>
      <w:spacing w:after="0" w:line="240" w:lineRule="auto"/>
      <w:ind w:left="1710" w:hanging="190"/>
    </w:pPr>
  </w:style>
  <w:style w:type="paragraph" w:styleId="IndexHeading">
    <w:name w:val="index heading"/>
    <w:basedOn w:val="Normal"/>
    <w:next w:val="Index1"/>
    <w:uiPriority w:val="99"/>
    <w:semiHidden/>
    <w:locked/>
    <w:rsid w:val="00F80750"/>
    <w:rPr>
      <w:rFonts w:asciiTheme="majorHAnsi" w:eastAsiaTheme="majorEastAsia" w:hAnsiTheme="majorHAnsi" w:cstheme="majorBidi"/>
      <w:b/>
      <w:bCs/>
    </w:rPr>
  </w:style>
  <w:style w:type="character" w:styleId="IntenseEmphasis">
    <w:name w:val="Intense Emphasis"/>
    <w:basedOn w:val="DefaultParagraphFont"/>
    <w:uiPriority w:val="21"/>
    <w:qFormat/>
    <w:locked/>
    <w:rsid w:val="00F80750"/>
    <w:rPr>
      <w:b/>
      <w:bCs/>
      <w:i/>
      <w:iCs/>
      <w:noProof w:val="0"/>
      <w:color w:val="FFDC00" w:themeColor="accent1"/>
      <w:lang w:val="en-AU"/>
    </w:rPr>
  </w:style>
  <w:style w:type="paragraph" w:styleId="IntenseQuote">
    <w:name w:val="Intense Quote"/>
    <w:basedOn w:val="Normal"/>
    <w:next w:val="Normal"/>
    <w:link w:val="IntenseQuoteChar"/>
    <w:uiPriority w:val="30"/>
    <w:qFormat/>
    <w:locked/>
    <w:rsid w:val="00F80750"/>
    <w:pPr>
      <w:pBdr>
        <w:bottom w:val="single" w:sz="4" w:space="4" w:color="FFDC00" w:themeColor="accent1"/>
      </w:pBdr>
      <w:spacing w:before="200" w:after="280"/>
      <w:ind w:left="936" w:right="936"/>
    </w:pPr>
    <w:rPr>
      <w:b/>
      <w:bCs/>
      <w:i/>
      <w:iCs/>
      <w:color w:val="FFDC00" w:themeColor="accent1"/>
    </w:rPr>
  </w:style>
  <w:style w:type="character" w:customStyle="1" w:styleId="IntenseQuoteChar">
    <w:name w:val="Intense Quote Char"/>
    <w:basedOn w:val="DefaultParagraphFont"/>
    <w:link w:val="IntenseQuote"/>
    <w:uiPriority w:val="30"/>
    <w:rsid w:val="00F80750"/>
    <w:rPr>
      <w:b/>
      <w:bCs/>
      <w:i/>
      <w:iCs/>
      <w:noProof w:val="0"/>
      <w:color w:val="FFDC00" w:themeColor="accent1"/>
      <w:lang w:val="en-AU"/>
    </w:rPr>
  </w:style>
  <w:style w:type="character" w:styleId="IntenseReference">
    <w:name w:val="Intense Reference"/>
    <w:basedOn w:val="DefaultParagraphFont"/>
    <w:uiPriority w:val="32"/>
    <w:qFormat/>
    <w:locked/>
    <w:rsid w:val="00F80750"/>
    <w:rPr>
      <w:b/>
      <w:bCs/>
      <w:smallCaps/>
      <w:noProof w:val="0"/>
      <w:color w:val="FF635D"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FFDC00" w:themeColor="accent1"/>
        <w:left w:val="single" w:sz="8" w:space="0" w:color="FFDC00" w:themeColor="accent1"/>
        <w:bottom w:val="single" w:sz="8" w:space="0" w:color="FFDC00" w:themeColor="accent1"/>
        <w:right w:val="single" w:sz="8" w:space="0" w:color="FFDC00" w:themeColor="accent1"/>
        <w:insideH w:val="single" w:sz="8" w:space="0" w:color="FFDC00" w:themeColor="accent1"/>
        <w:insideV w:val="single" w:sz="8" w:space="0" w:color="FFD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C00" w:themeColor="accent1"/>
          <w:left w:val="single" w:sz="8" w:space="0" w:color="FFDC00" w:themeColor="accent1"/>
          <w:bottom w:val="single" w:sz="18" w:space="0" w:color="FFDC00" w:themeColor="accent1"/>
          <w:right w:val="single" w:sz="8" w:space="0" w:color="FFDC00" w:themeColor="accent1"/>
          <w:insideH w:val="nil"/>
          <w:insideV w:val="single" w:sz="8" w:space="0" w:color="FFD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C00" w:themeColor="accent1"/>
          <w:left w:val="single" w:sz="8" w:space="0" w:color="FFDC00" w:themeColor="accent1"/>
          <w:bottom w:val="single" w:sz="8" w:space="0" w:color="FFDC00" w:themeColor="accent1"/>
          <w:right w:val="single" w:sz="8" w:space="0" w:color="FFDC00" w:themeColor="accent1"/>
          <w:insideH w:val="nil"/>
          <w:insideV w:val="single" w:sz="8" w:space="0" w:color="FFD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C00" w:themeColor="accent1"/>
          <w:left w:val="single" w:sz="8" w:space="0" w:color="FFDC00" w:themeColor="accent1"/>
          <w:bottom w:val="single" w:sz="8" w:space="0" w:color="FFDC00" w:themeColor="accent1"/>
          <w:right w:val="single" w:sz="8" w:space="0" w:color="FFDC00" w:themeColor="accent1"/>
        </w:tcBorders>
      </w:tcPr>
    </w:tblStylePr>
    <w:tblStylePr w:type="band1Vert">
      <w:tblPr/>
      <w:tcPr>
        <w:tcBorders>
          <w:top w:val="single" w:sz="8" w:space="0" w:color="FFDC00" w:themeColor="accent1"/>
          <w:left w:val="single" w:sz="8" w:space="0" w:color="FFDC00" w:themeColor="accent1"/>
          <w:bottom w:val="single" w:sz="8" w:space="0" w:color="FFDC00" w:themeColor="accent1"/>
          <w:right w:val="single" w:sz="8" w:space="0" w:color="FFDC00" w:themeColor="accent1"/>
        </w:tcBorders>
        <w:shd w:val="clear" w:color="auto" w:fill="FFF6C0" w:themeFill="accent1" w:themeFillTint="3F"/>
      </w:tcPr>
    </w:tblStylePr>
    <w:tblStylePr w:type="band1Horz">
      <w:tblPr/>
      <w:tcPr>
        <w:tcBorders>
          <w:top w:val="single" w:sz="8" w:space="0" w:color="FFDC00" w:themeColor="accent1"/>
          <w:left w:val="single" w:sz="8" w:space="0" w:color="FFDC00" w:themeColor="accent1"/>
          <w:bottom w:val="single" w:sz="8" w:space="0" w:color="FFDC00" w:themeColor="accent1"/>
          <w:right w:val="single" w:sz="8" w:space="0" w:color="FFDC00" w:themeColor="accent1"/>
          <w:insideV w:val="single" w:sz="8" w:space="0" w:color="FFDC00" w:themeColor="accent1"/>
        </w:tcBorders>
        <w:shd w:val="clear" w:color="auto" w:fill="FFF6C0" w:themeFill="accent1" w:themeFillTint="3F"/>
      </w:tcPr>
    </w:tblStylePr>
    <w:tblStylePr w:type="band2Horz">
      <w:tblPr/>
      <w:tcPr>
        <w:tcBorders>
          <w:top w:val="single" w:sz="8" w:space="0" w:color="FFDC00" w:themeColor="accent1"/>
          <w:left w:val="single" w:sz="8" w:space="0" w:color="FFDC00" w:themeColor="accent1"/>
          <w:bottom w:val="single" w:sz="8" w:space="0" w:color="FFDC00" w:themeColor="accent1"/>
          <w:right w:val="single" w:sz="8" w:space="0" w:color="FFDC00" w:themeColor="accent1"/>
          <w:insideV w:val="single" w:sz="8" w:space="0" w:color="FFDC00"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FF635D" w:themeColor="accent2"/>
        <w:left w:val="single" w:sz="8" w:space="0" w:color="FF635D" w:themeColor="accent2"/>
        <w:bottom w:val="single" w:sz="8" w:space="0" w:color="FF635D" w:themeColor="accent2"/>
        <w:right w:val="single" w:sz="8" w:space="0" w:color="FF635D" w:themeColor="accent2"/>
        <w:insideH w:val="single" w:sz="8" w:space="0" w:color="FF635D" w:themeColor="accent2"/>
        <w:insideV w:val="single" w:sz="8" w:space="0" w:color="FF635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35D" w:themeColor="accent2"/>
          <w:left w:val="single" w:sz="8" w:space="0" w:color="FF635D" w:themeColor="accent2"/>
          <w:bottom w:val="single" w:sz="18" w:space="0" w:color="FF635D" w:themeColor="accent2"/>
          <w:right w:val="single" w:sz="8" w:space="0" w:color="FF635D" w:themeColor="accent2"/>
          <w:insideH w:val="nil"/>
          <w:insideV w:val="single" w:sz="8" w:space="0" w:color="FF635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35D" w:themeColor="accent2"/>
          <w:left w:val="single" w:sz="8" w:space="0" w:color="FF635D" w:themeColor="accent2"/>
          <w:bottom w:val="single" w:sz="8" w:space="0" w:color="FF635D" w:themeColor="accent2"/>
          <w:right w:val="single" w:sz="8" w:space="0" w:color="FF635D" w:themeColor="accent2"/>
          <w:insideH w:val="nil"/>
          <w:insideV w:val="single" w:sz="8" w:space="0" w:color="FF635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35D" w:themeColor="accent2"/>
          <w:left w:val="single" w:sz="8" w:space="0" w:color="FF635D" w:themeColor="accent2"/>
          <w:bottom w:val="single" w:sz="8" w:space="0" w:color="FF635D" w:themeColor="accent2"/>
          <w:right w:val="single" w:sz="8" w:space="0" w:color="FF635D" w:themeColor="accent2"/>
        </w:tcBorders>
      </w:tcPr>
    </w:tblStylePr>
    <w:tblStylePr w:type="band1Vert">
      <w:tblPr/>
      <w:tcPr>
        <w:tcBorders>
          <w:top w:val="single" w:sz="8" w:space="0" w:color="FF635D" w:themeColor="accent2"/>
          <w:left w:val="single" w:sz="8" w:space="0" w:color="FF635D" w:themeColor="accent2"/>
          <w:bottom w:val="single" w:sz="8" w:space="0" w:color="FF635D" w:themeColor="accent2"/>
          <w:right w:val="single" w:sz="8" w:space="0" w:color="FF635D" w:themeColor="accent2"/>
        </w:tcBorders>
        <w:shd w:val="clear" w:color="auto" w:fill="FFD8D6" w:themeFill="accent2" w:themeFillTint="3F"/>
      </w:tcPr>
    </w:tblStylePr>
    <w:tblStylePr w:type="band1Horz">
      <w:tblPr/>
      <w:tcPr>
        <w:tcBorders>
          <w:top w:val="single" w:sz="8" w:space="0" w:color="FF635D" w:themeColor="accent2"/>
          <w:left w:val="single" w:sz="8" w:space="0" w:color="FF635D" w:themeColor="accent2"/>
          <w:bottom w:val="single" w:sz="8" w:space="0" w:color="FF635D" w:themeColor="accent2"/>
          <w:right w:val="single" w:sz="8" w:space="0" w:color="FF635D" w:themeColor="accent2"/>
          <w:insideV w:val="single" w:sz="8" w:space="0" w:color="FF635D" w:themeColor="accent2"/>
        </w:tcBorders>
        <w:shd w:val="clear" w:color="auto" w:fill="FFD8D6" w:themeFill="accent2" w:themeFillTint="3F"/>
      </w:tcPr>
    </w:tblStylePr>
    <w:tblStylePr w:type="band2Horz">
      <w:tblPr/>
      <w:tcPr>
        <w:tcBorders>
          <w:top w:val="single" w:sz="8" w:space="0" w:color="FF635D" w:themeColor="accent2"/>
          <w:left w:val="single" w:sz="8" w:space="0" w:color="FF635D" w:themeColor="accent2"/>
          <w:bottom w:val="single" w:sz="8" w:space="0" w:color="FF635D" w:themeColor="accent2"/>
          <w:right w:val="single" w:sz="8" w:space="0" w:color="FF635D" w:themeColor="accent2"/>
          <w:insideV w:val="single" w:sz="8" w:space="0" w:color="FF635D"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3F61C4" w:themeColor="accent3"/>
        <w:left w:val="single" w:sz="8" w:space="0" w:color="3F61C4" w:themeColor="accent3"/>
        <w:bottom w:val="single" w:sz="8" w:space="0" w:color="3F61C4" w:themeColor="accent3"/>
        <w:right w:val="single" w:sz="8" w:space="0" w:color="3F61C4" w:themeColor="accent3"/>
        <w:insideH w:val="single" w:sz="8" w:space="0" w:color="3F61C4" w:themeColor="accent3"/>
        <w:insideV w:val="single" w:sz="8" w:space="0" w:color="3F61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61C4" w:themeColor="accent3"/>
          <w:left w:val="single" w:sz="8" w:space="0" w:color="3F61C4" w:themeColor="accent3"/>
          <w:bottom w:val="single" w:sz="18" w:space="0" w:color="3F61C4" w:themeColor="accent3"/>
          <w:right w:val="single" w:sz="8" w:space="0" w:color="3F61C4" w:themeColor="accent3"/>
          <w:insideH w:val="nil"/>
          <w:insideV w:val="single" w:sz="8" w:space="0" w:color="3F61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61C4" w:themeColor="accent3"/>
          <w:left w:val="single" w:sz="8" w:space="0" w:color="3F61C4" w:themeColor="accent3"/>
          <w:bottom w:val="single" w:sz="8" w:space="0" w:color="3F61C4" w:themeColor="accent3"/>
          <w:right w:val="single" w:sz="8" w:space="0" w:color="3F61C4" w:themeColor="accent3"/>
          <w:insideH w:val="nil"/>
          <w:insideV w:val="single" w:sz="8" w:space="0" w:color="3F61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61C4" w:themeColor="accent3"/>
          <w:left w:val="single" w:sz="8" w:space="0" w:color="3F61C4" w:themeColor="accent3"/>
          <w:bottom w:val="single" w:sz="8" w:space="0" w:color="3F61C4" w:themeColor="accent3"/>
          <w:right w:val="single" w:sz="8" w:space="0" w:color="3F61C4" w:themeColor="accent3"/>
        </w:tcBorders>
      </w:tcPr>
    </w:tblStylePr>
    <w:tblStylePr w:type="band1Vert">
      <w:tblPr/>
      <w:tcPr>
        <w:tcBorders>
          <w:top w:val="single" w:sz="8" w:space="0" w:color="3F61C4" w:themeColor="accent3"/>
          <w:left w:val="single" w:sz="8" w:space="0" w:color="3F61C4" w:themeColor="accent3"/>
          <w:bottom w:val="single" w:sz="8" w:space="0" w:color="3F61C4" w:themeColor="accent3"/>
          <w:right w:val="single" w:sz="8" w:space="0" w:color="3F61C4" w:themeColor="accent3"/>
        </w:tcBorders>
        <w:shd w:val="clear" w:color="auto" w:fill="CFD7F0" w:themeFill="accent3" w:themeFillTint="3F"/>
      </w:tcPr>
    </w:tblStylePr>
    <w:tblStylePr w:type="band1Horz">
      <w:tblPr/>
      <w:tcPr>
        <w:tcBorders>
          <w:top w:val="single" w:sz="8" w:space="0" w:color="3F61C4" w:themeColor="accent3"/>
          <w:left w:val="single" w:sz="8" w:space="0" w:color="3F61C4" w:themeColor="accent3"/>
          <w:bottom w:val="single" w:sz="8" w:space="0" w:color="3F61C4" w:themeColor="accent3"/>
          <w:right w:val="single" w:sz="8" w:space="0" w:color="3F61C4" w:themeColor="accent3"/>
          <w:insideV w:val="single" w:sz="8" w:space="0" w:color="3F61C4" w:themeColor="accent3"/>
        </w:tcBorders>
        <w:shd w:val="clear" w:color="auto" w:fill="CFD7F0" w:themeFill="accent3" w:themeFillTint="3F"/>
      </w:tcPr>
    </w:tblStylePr>
    <w:tblStylePr w:type="band2Horz">
      <w:tblPr/>
      <w:tcPr>
        <w:tcBorders>
          <w:top w:val="single" w:sz="8" w:space="0" w:color="3F61C4" w:themeColor="accent3"/>
          <w:left w:val="single" w:sz="8" w:space="0" w:color="3F61C4" w:themeColor="accent3"/>
          <w:bottom w:val="single" w:sz="8" w:space="0" w:color="3F61C4" w:themeColor="accent3"/>
          <w:right w:val="single" w:sz="8" w:space="0" w:color="3F61C4" w:themeColor="accent3"/>
          <w:insideV w:val="single" w:sz="8" w:space="0" w:color="3F61C4"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1AC987" w:themeColor="accent4"/>
        <w:left w:val="single" w:sz="8" w:space="0" w:color="1AC987" w:themeColor="accent4"/>
        <w:bottom w:val="single" w:sz="8" w:space="0" w:color="1AC987" w:themeColor="accent4"/>
        <w:right w:val="single" w:sz="8" w:space="0" w:color="1AC987" w:themeColor="accent4"/>
        <w:insideH w:val="single" w:sz="8" w:space="0" w:color="1AC987" w:themeColor="accent4"/>
        <w:insideV w:val="single" w:sz="8" w:space="0" w:color="1AC9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C987" w:themeColor="accent4"/>
          <w:left w:val="single" w:sz="8" w:space="0" w:color="1AC987" w:themeColor="accent4"/>
          <w:bottom w:val="single" w:sz="18" w:space="0" w:color="1AC987" w:themeColor="accent4"/>
          <w:right w:val="single" w:sz="8" w:space="0" w:color="1AC987" w:themeColor="accent4"/>
          <w:insideH w:val="nil"/>
          <w:insideV w:val="single" w:sz="8" w:space="0" w:color="1AC9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C987" w:themeColor="accent4"/>
          <w:left w:val="single" w:sz="8" w:space="0" w:color="1AC987" w:themeColor="accent4"/>
          <w:bottom w:val="single" w:sz="8" w:space="0" w:color="1AC987" w:themeColor="accent4"/>
          <w:right w:val="single" w:sz="8" w:space="0" w:color="1AC987" w:themeColor="accent4"/>
          <w:insideH w:val="nil"/>
          <w:insideV w:val="single" w:sz="8" w:space="0" w:color="1AC9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C987" w:themeColor="accent4"/>
          <w:left w:val="single" w:sz="8" w:space="0" w:color="1AC987" w:themeColor="accent4"/>
          <w:bottom w:val="single" w:sz="8" w:space="0" w:color="1AC987" w:themeColor="accent4"/>
          <w:right w:val="single" w:sz="8" w:space="0" w:color="1AC987" w:themeColor="accent4"/>
        </w:tcBorders>
      </w:tcPr>
    </w:tblStylePr>
    <w:tblStylePr w:type="band1Vert">
      <w:tblPr/>
      <w:tcPr>
        <w:tcBorders>
          <w:top w:val="single" w:sz="8" w:space="0" w:color="1AC987" w:themeColor="accent4"/>
          <w:left w:val="single" w:sz="8" w:space="0" w:color="1AC987" w:themeColor="accent4"/>
          <w:bottom w:val="single" w:sz="8" w:space="0" w:color="1AC987" w:themeColor="accent4"/>
          <w:right w:val="single" w:sz="8" w:space="0" w:color="1AC987" w:themeColor="accent4"/>
        </w:tcBorders>
        <w:shd w:val="clear" w:color="auto" w:fill="C1F7E2" w:themeFill="accent4" w:themeFillTint="3F"/>
      </w:tcPr>
    </w:tblStylePr>
    <w:tblStylePr w:type="band1Horz">
      <w:tblPr/>
      <w:tcPr>
        <w:tcBorders>
          <w:top w:val="single" w:sz="8" w:space="0" w:color="1AC987" w:themeColor="accent4"/>
          <w:left w:val="single" w:sz="8" w:space="0" w:color="1AC987" w:themeColor="accent4"/>
          <w:bottom w:val="single" w:sz="8" w:space="0" w:color="1AC987" w:themeColor="accent4"/>
          <w:right w:val="single" w:sz="8" w:space="0" w:color="1AC987" w:themeColor="accent4"/>
          <w:insideV w:val="single" w:sz="8" w:space="0" w:color="1AC987" w:themeColor="accent4"/>
        </w:tcBorders>
        <w:shd w:val="clear" w:color="auto" w:fill="C1F7E2" w:themeFill="accent4" w:themeFillTint="3F"/>
      </w:tcPr>
    </w:tblStylePr>
    <w:tblStylePr w:type="band2Horz">
      <w:tblPr/>
      <w:tcPr>
        <w:tcBorders>
          <w:top w:val="single" w:sz="8" w:space="0" w:color="1AC987" w:themeColor="accent4"/>
          <w:left w:val="single" w:sz="8" w:space="0" w:color="1AC987" w:themeColor="accent4"/>
          <w:bottom w:val="single" w:sz="8" w:space="0" w:color="1AC987" w:themeColor="accent4"/>
          <w:right w:val="single" w:sz="8" w:space="0" w:color="1AC987" w:themeColor="accent4"/>
          <w:insideV w:val="single" w:sz="8" w:space="0" w:color="1AC987"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FA91B6" w:themeColor="accent5"/>
        <w:left w:val="single" w:sz="8" w:space="0" w:color="FA91B6" w:themeColor="accent5"/>
        <w:bottom w:val="single" w:sz="8" w:space="0" w:color="FA91B6" w:themeColor="accent5"/>
        <w:right w:val="single" w:sz="8" w:space="0" w:color="FA91B6" w:themeColor="accent5"/>
        <w:insideH w:val="single" w:sz="8" w:space="0" w:color="FA91B6" w:themeColor="accent5"/>
        <w:insideV w:val="single" w:sz="8" w:space="0" w:color="FA91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91B6" w:themeColor="accent5"/>
          <w:left w:val="single" w:sz="8" w:space="0" w:color="FA91B6" w:themeColor="accent5"/>
          <w:bottom w:val="single" w:sz="18" w:space="0" w:color="FA91B6" w:themeColor="accent5"/>
          <w:right w:val="single" w:sz="8" w:space="0" w:color="FA91B6" w:themeColor="accent5"/>
          <w:insideH w:val="nil"/>
          <w:insideV w:val="single" w:sz="8" w:space="0" w:color="FA91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91B6" w:themeColor="accent5"/>
          <w:left w:val="single" w:sz="8" w:space="0" w:color="FA91B6" w:themeColor="accent5"/>
          <w:bottom w:val="single" w:sz="8" w:space="0" w:color="FA91B6" w:themeColor="accent5"/>
          <w:right w:val="single" w:sz="8" w:space="0" w:color="FA91B6" w:themeColor="accent5"/>
          <w:insideH w:val="nil"/>
          <w:insideV w:val="single" w:sz="8" w:space="0" w:color="FA91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91B6" w:themeColor="accent5"/>
          <w:left w:val="single" w:sz="8" w:space="0" w:color="FA91B6" w:themeColor="accent5"/>
          <w:bottom w:val="single" w:sz="8" w:space="0" w:color="FA91B6" w:themeColor="accent5"/>
          <w:right w:val="single" w:sz="8" w:space="0" w:color="FA91B6" w:themeColor="accent5"/>
        </w:tcBorders>
      </w:tcPr>
    </w:tblStylePr>
    <w:tblStylePr w:type="band1Vert">
      <w:tblPr/>
      <w:tcPr>
        <w:tcBorders>
          <w:top w:val="single" w:sz="8" w:space="0" w:color="FA91B6" w:themeColor="accent5"/>
          <w:left w:val="single" w:sz="8" w:space="0" w:color="FA91B6" w:themeColor="accent5"/>
          <w:bottom w:val="single" w:sz="8" w:space="0" w:color="FA91B6" w:themeColor="accent5"/>
          <w:right w:val="single" w:sz="8" w:space="0" w:color="FA91B6" w:themeColor="accent5"/>
        </w:tcBorders>
        <w:shd w:val="clear" w:color="auto" w:fill="FDE3EC" w:themeFill="accent5" w:themeFillTint="3F"/>
      </w:tcPr>
    </w:tblStylePr>
    <w:tblStylePr w:type="band1Horz">
      <w:tblPr/>
      <w:tcPr>
        <w:tcBorders>
          <w:top w:val="single" w:sz="8" w:space="0" w:color="FA91B6" w:themeColor="accent5"/>
          <w:left w:val="single" w:sz="8" w:space="0" w:color="FA91B6" w:themeColor="accent5"/>
          <w:bottom w:val="single" w:sz="8" w:space="0" w:color="FA91B6" w:themeColor="accent5"/>
          <w:right w:val="single" w:sz="8" w:space="0" w:color="FA91B6" w:themeColor="accent5"/>
          <w:insideV w:val="single" w:sz="8" w:space="0" w:color="FA91B6" w:themeColor="accent5"/>
        </w:tcBorders>
        <w:shd w:val="clear" w:color="auto" w:fill="FDE3EC" w:themeFill="accent5" w:themeFillTint="3F"/>
      </w:tcPr>
    </w:tblStylePr>
    <w:tblStylePr w:type="band2Horz">
      <w:tblPr/>
      <w:tcPr>
        <w:tcBorders>
          <w:top w:val="single" w:sz="8" w:space="0" w:color="FA91B6" w:themeColor="accent5"/>
          <w:left w:val="single" w:sz="8" w:space="0" w:color="FA91B6" w:themeColor="accent5"/>
          <w:bottom w:val="single" w:sz="8" w:space="0" w:color="FA91B6" w:themeColor="accent5"/>
          <w:right w:val="single" w:sz="8" w:space="0" w:color="FA91B6" w:themeColor="accent5"/>
          <w:insideV w:val="single" w:sz="8" w:space="0" w:color="FA91B6"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8A68C8" w:themeColor="accent6"/>
        <w:left w:val="single" w:sz="8" w:space="0" w:color="8A68C8" w:themeColor="accent6"/>
        <w:bottom w:val="single" w:sz="8" w:space="0" w:color="8A68C8" w:themeColor="accent6"/>
        <w:right w:val="single" w:sz="8" w:space="0" w:color="8A68C8" w:themeColor="accent6"/>
        <w:insideH w:val="single" w:sz="8" w:space="0" w:color="8A68C8" w:themeColor="accent6"/>
        <w:insideV w:val="single" w:sz="8" w:space="0" w:color="8A6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68C8" w:themeColor="accent6"/>
          <w:left w:val="single" w:sz="8" w:space="0" w:color="8A68C8" w:themeColor="accent6"/>
          <w:bottom w:val="single" w:sz="18" w:space="0" w:color="8A68C8" w:themeColor="accent6"/>
          <w:right w:val="single" w:sz="8" w:space="0" w:color="8A68C8" w:themeColor="accent6"/>
          <w:insideH w:val="nil"/>
          <w:insideV w:val="single" w:sz="8" w:space="0" w:color="8A6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68C8" w:themeColor="accent6"/>
          <w:left w:val="single" w:sz="8" w:space="0" w:color="8A68C8" w:themeColor="accent6"/>
          <w:bottom w:val="single" w:sz="8" w:space="0" w:color="8A68C8" w:themeColor="accent6"/>
          <w:right w:val="single" w:sz="8" w:space="0" w:color="8A68C8" w:themeColor="accent6"/>
          <w:insideH w:val="nil"/>
          <w:insideV w:val="single" w:sz="8" w:space="0" w:color="8A6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68C8" w:themeColor="accent6"/>
          <w:left w:val="single" w:sz="8" w:space="0" w:color="8A68C8" w:themeColor="accent6"/>
          <w:bottom w:val="single" w:sz="8" w:space="0" w:color="8A68C8" w:themeColor="accent6"/>
          <w:right w:val="single" w:sz="8" w:space="0" w:color="8A68C8" w:themeColor="accent6"/>
        </w:tcBorders>
      </w:tcPr>
    </w:tblStylePr>
    <w:tblStylePr w:type="band1Vert">
      <w:tblPr/>
      <w:tcPr>
        <w:tcBorders>
          <w:top w:val="single" w:sz="8" w:space="0" w:color="8A68C8" w:themeColor="accent6"/>
          <w:left w:val="single" w:sz="8" w:space="0" w:color="8A68C8" w:themeColor="accent6"/>
          <w:bottom w:val="single" w:sz="8" w:space="0" w:color="8A68C8" w:themeColor="accent6"/>
          <w:right w:val="single" w:sz="8" w:space="0" w:color="8A68C8" w:themeColor="accent6"/>
        </w:tcBorders>
        <w:shd w:val="clear" w:color="auto" w:fill="E1D9F1" w:themeFill="accent6" w:themeFillTint="3F"/>
      </w:tcPr>
    </w:tblStylePr>
    <w:tblStylePr w:type="band1Horz">
      <w:tblPr/>
      <w:tcPr>
        <w:tcBorders>
          <w:top w:val="single" w:sz="8" w:space="0" w:color="8A68C8" w:themeColor="accent6"/>
          <w:left w:val="single" w:sz="8" w:space="0" w:color="8A68C8" w:themeColor="accent6"/>
          <w:bottom w:val="single" w:sz="8" w:space="0" w:color="8A68C8" w:themeColor="accent6"/>
          <w:right w:val="single" w:sz="8" w:space="0" w:color="8A68C8" w:themeColor="accent6"/>
          <w:insideV w:val="single" w:sz="8" w:space="0" w:color="8A68C8" w:themeColor="accent6"/>
        </w:tcBorders>
        <w:shd w:val="clear" w:color="auto" w:fill="E1D9F1" w:themeFill="accent6" w:themeFillTint="3F"/>
      </w:tcPr>
    </w:tblStylePr>
    <w:tblStylePr w:type="band2Horz">
      <w:tblPr/>
      <w:tcPr>
        <w:tcBorders>
          <w:top w:val="single" w:sz="8" w:space="0" w:color="8A68C8" w:themeColor="accent6"/>
          <w:left w:val="single" w:sz="8" w:space="0" w:color="8A68C8" w:themeColor="accent6"/>
          <w:bottom w:val="single" w:sz="8" w:space="0" w:color="8A68C8" w:themeColor="accent6"/>
          <w:right w:val="single" w:sz="8" w:space="0" w:color="8A68C8" w:themeColor="accent6"/>
          <w:insideV w:val="single" w:sz="8" w:space="0" w:color="8A68C8"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FFDC00" w:themeColor="accent1"/>
        <w:left w:val="single" w:sz="8" w:space="0" w:color="FFDC00" w:themeColor="accent1"/>
        <w:bottom w:val="single" w:sz="8" w:space="0" w:color="FFDC00" w:themeColor="accent1"/>
        <w:right w:val="single" w:sz="8" w:space="0" w:color="FFDC00" w:themeColor="accent1"/>
      </w:tblBorders>
    </w:tblPr>
    <w:tblStylePr w:type="firstRow">
      <w:pPr>
        <w:spacing w:before="0" w:after="0" w:line="240" w:lineRule="auto"/>
      </w:pPr>
      <w:rPr>
        <w:b/>
        <w:bCs/>
        <w:color w:val="FFFFFF" w:themeColor="background1"/>
      </w:rPr>
      <w:tblPr/>
      <w:tcPr>
        <w:shd w:val="clear" w:color="auto" w:fill="FFDC00" w:themeFill="accent1"/>
      </w:tcPr>
    </w:tblStylePr>
    <w:tblStylePr w:type="lastRow">
      <w:pPr>
        <w:spacing w:before="0" w:after="0" w:line="240" w:lineRule="auto"/>
      </w:pPr>
      <w:rPr>
        <w:b/>
        <w:bCs/>
      </w:rPr>
      <w:tblPr/>
      <w:tcPr>
        <w:tcBorders>
          <w:top w:val="double" w:sz="6" w:space="0" w:color="FFDC00" w:themeColor="accent1"/>
          <w:left w:val="single" w:sz="8" w:space="0" w:color="FFDC00" w:themeColor="accent1"/>
          <w:bottom w:val="single" w:sz="8" w:space="0" w:color="FFDC00" w:themeColor="accent1"/>
          <w:right w:val="single" w:sz="8" w:space="0" w:color="FFDC00" w:themeColor="accent1"/>
        </w:tcBorders>
      </w:tcPr>
    </w:tblStylePr>
    <w:tblStylePr w:type="firstCol">
      <w:rPr>
        <w:b/>
        <w:bCs/>
      </w:rPr>
    </w:tblStylePr>
    <w:tblStylePr w:type="lastCol">
      <w:rPr>
        <w:b/>
        <w:bCs/>
      </w:rPr>
    </w:tblStylePr>
    <w:tblStylePr w:type="band1Vert">
      <w:tblPr/>
      <w:tcPr>
        <w:tcBorders>
          <w:top w:val="single" w:sz="8" w:space="0" w:color="FFDC00" w:themeColor="accent1"/>
          <w:left w:val="single" w:sz="8" w:space="0" w:color="FFDC00" w:themeColor="accent1"/>
          <w:bottom w:val="single" w:sz="8" w:space="0" w:color="FFDC00" w:themeColor="accent1"/>
          <w:right w:val="single" w:sz="8" w:space="0" w:color="FFDC00" w:themeColor="accent1"/>
        </w:tcBorders>
      </w:tcPr>
    </w:tblStylePr>
    <w:tblStylePr w:type="band1Horz">
      <w:tblPr/>
      <w:tcPr>
        <w:tcBorders>
          <w:top w:val="single" w:sz="8" w:space="0" w:color="FFDC00" w:themeColor="accent1"/>
          <w:left w:val="single" w:sz="8" w:space="0" w:color="FFDC00" w:themeColor="accent1"/>
          <w:bottom w:val="single" w:sz="8" w:space="0" w:color="FFDC00" w:themeColor="accent1"/>
          <w:right w:val="single" w:sz="8" w:space="0" w:color="FFDC00"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FF635D" w:themeColor="accent2"/>
        <w:left w:val="single" w:sz="8" w:space="0" w:color="FF635D" w:themeColor="accent2"/>
        <w:bottom w:val="single" w:sz="8" w:space="0" w:color="FF635D" w:themeColor="accent2"/>
        <w:right w:val="single" w:sz="8" w:space="0" w:color="FF635D" w:themeColor="accent2"/>
      </w:tblBorders>
    </w:tblPr>
    <w:tblStylePr w:type="firstRow">
      <w:pPr>
        <w:spacing w:before="0" w:after="0" w:line="240" w:lineRule="auto"/>
      </w:pPr>
      <w:rPr>
        <w:b/>
        <w:bCs/>
        <w:color w:val="FFFFFF" w:themeColor="background1"/>
      </w:rPr>
      <w:tblPr/>
      <w:tcPr>
        <w:shd w:val="clear" w:color="auto" w:fill="FF635D" w:themeFill="accent2"/>
      </w:tcPr>
    </w:tblStylePr>
    <w:tblStylePr w:type="lastRow">
      <w:pPr>
        <w:spacing w:before="0" w:after="0" w:line="240" w:lineRule="auto"/>
      </w:pPr>
      <w:rPr>
        <w:b/>
        <w:bCs/>
      </w:rPr>
      <w:tblPr/>
      <w:tcPr>
        <w:tcBorders>
          <w:top w:val="double" w:sz="6" w:space="0" w:color="FF635D" w:themeColor="accent2"/>
          <w:left w:val="single" w:sz="8" w:space="0" w:color="FF635D" w:themeColor="accent2"/>
          <w:bottom w:val="single" w:sz="8" w:space="0" w:color="FF635D" w:themeColor="accent2"/>
          <w:right w:val="single" w:sz="8" w:space="0" w:color="FF635D" w:themeColor="accent2"/>
        </w:tcBorders>
      </w:tcPr>
    </w:tblStylePr>
    <w:tblStylePr w:type="firstCol">
      <w:rPr>
        <w:b/>
        <w:bCs/>
      </w:rPr>
    </w:tblStylePr>
    <w:tblStylePr w:type="lastCol">
      <w:rPr>
        <w:b/>
        <w:bCs/>
      </w:rPr>
    </w:tblStylePr>
    <w:tblStylePr w:type="band1Vert">
      <w:tblPr/>
      <w:tcPr>
        <w:tcBorders>
          <w:top w:val="single" w:sz="8" w:space="0" w:color="FF635D" w:themeColor="accent2"/>
          <w:left w:val="single" w:sz="8" w:space="0" w:color="FF635D" w:themeColor="accent2"/>
          <w:bottom w:val="single" w:sz="8" w:space="0" w:color="FF635D" w:themeColor="accent2"/>
          <w:right w:val="single" w:sz="8" w:space="0" w:color="FF635D" w:themeColor="accent2"/>
        </w:tcBorders>
      </w:tcPr>
    </w:tblStylePr>
    <w:tblStylePr w:type="band1Horz">
      <w:tblPr/>
      <w:tcPr>
        <w:tcBorders>
          <w:top w:val="single" w:sz="8" w:space="0" w:color="FF635D" w:themeColor="accent2"/>
          <w:left w:val="single" w:sz="8" w:space="0" w:color="FF635D" w:themeColor="accent2"/>
          <w:bottom w:val="single" w:sz="8" w:space="0" w:color="FF635D" w:themeColor="accent2"/>
          <w:right w:val="single" w:sz="8" w:space="0" w:color="FF635D"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3F61C4" w:themeColor="accent3"/>
        <w:left w:val="single" w:sz="8" w:space="0" w:color="3F61C4" w:themeColor="accent3"/>
        <w:bottom w:val="single" w:sz="8" w:space="0" w:color="3F61C4" w:themeColor="accent3"/>
        <w:right w:val="single" w:sz="8" w:space="0" w:color="3F61C4" w:themeColor="accent3"/>
      </w:tblBorders>
    </w:tblPr>
    <w:tblStylePr w:type="firstRow">
      <w:pPr>
        <w:spacing w:before="0" w:after="0" w:line="240" w:lineRule="auto"/>
      </w:pPr>
      <w:rPr>
        <w:b/>
        <w:bCs/>
        <w:color w:val="FFFFFF" w:themeColor="background1"/>
      </w:rPr>
      <w:tblPr/>
      <w:tcPr>
        <w:shd w:val="clear" w:color="auto" w:fill="3F61C4" w:themeFill="accent3"/>
      </w:tcPr>
    </w:tblStylePr>
    <w:tblStylePr w:type="lastRow">
      <w:pPr>
        <w:spacing w:before="0" w:after="0" w:line="240" w:lineRule="auto"/>
      </w:pPr>
      <w:rPr>
        <w:b/>
        <w:bCs/>
      </w:rPr>
      <w:tblPr/>
      <w:tcPr>
        <w:tcBorders>
          <w:top w:val="double" w:sz="6" w:space="0" w:color="3F61C4" w:themeColor="accent3"/>
          <w:left w:val="single" w:sz="8" w:space="0" w:color="3F61C4" w:themeColor="accent3"/>
          <w:bottom w:val="single" w:sz="8" w:space="0" w:color="3F61C4" w:themeColor="accent3"/>
          <w:right w:val="single" w:sz="8" w:space="0" w:color="3F61C4" w:themeColor="accent3"/>
        </w:tcBorders>
      </w:tcPr>
    </w:tblStylePr>
    <w:tblStylePr w:type="firstCol">
      <w:rPr>
        <w:b/>
        <w:bCs/>
      </w:rPr>
    </w:tblStylePr>
    <w:tblStylePr w:type="lastCol">
      <w:rPr>
        <w:b/>
        <w:bCs/>
      </w:rPr>
    </w:tblStylePr>
    <w:tblStylePr w:type="band1Vert">
      <w:tblPr/>
      <w:tcPr>
        <w:tcBorders>
          <w:top w:val="single" w:sz="8" w:space="0" w:color="3F61C4" w:themeColor="accent3"/>
          <w:left w:val="single" w:sz="8" w:space="0" w:color="3F61C4" w:themeColor="accent3"/>
          <w:bottom w:val="single" w:sz="8" w:space="0" w:color="3F61C4" w:themeColor="accent3"/>
          <w:right w:val="single" w:sz="8" w:space="0" w:color="3F61C4" w:themeColor="accent3"/>
        </w:tcBorders>
      </w:tcPr>
    </w:tblStylePr>
    <w:tblStylePr w:type="band1Horz">
      <w:tblPr/>
      <w:tcPr>
        <w:tcBorders>
          <w:top w:val="single" w:sz="8" w:space="0" w:color="3F61C4" w:themeColor="accent3"/>
          <w:left w:val="single" w:sz="8" w:space="0" w:color="3F61C4" w:themeColor="accent3"/>
          <w:bottom w:val="single" w:sz="8" w:space="0" w:color="3F61C4" w:themeColor="accent3"/>
          <w:right w:val="single" w:sz="8" w:space="0" w:color="3F61C4"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1AC987" w:themeColor="accent4"/>
        <w:left w:val="single" w:sz="8" w:space="0" w:color="1AC987" w:themeColor="accent4"/>
        <w:bottom w:val="single" w:sz="8" w:space="0" w:color="1AC987" w:themeColor="accent4"/>
        <w:right w:val="single" w:sz="8" w:space="0" w:color="1AC987" w:themeColor="accent4"/>
      </w:tblBorders>
    </w:tblPr>
    <w:tblStylePr w:type="firstRow">
      <w:pPr>
        <w:spacing w:before="0" w:after="0" w:line="240" w:lineRule="auto"/>
      </w:pPr>
      <w:rPr>
        <w:b/>
        <w:bCs/>
        <w:color w:val="FFFFFF" w:themeColor="background1"/>
      </w:rPr>
      <w:tblPr/>
      <w:tcPr>
        <w:shd w:val="clear" w:color="auto" w:fill="1AC987" w:themeFill="accent4"/>
      </w:tcPr>
    </w:tblStylePr>
    <w:tblStylePr w:type="lastRow">
      <w:pPr>
        <w:spacing w:before="0" w:after="0" w:line="240" w:lineRule="auto"/>
      </w:pPr>
      <w:rPr>
        <w:b/>
        <w:bCs/>
      </w:rPr>
      <w:tblPr/>
      <w:tcPr>
        <w:tcBorders>
          <w:top w:val="double" w:sz="6" w:space="0" w:color="1AC987" w:themeColor="accent4"/>
          <w:left w:val="single" w:sz="8" w:space="0" w:color="1AC987" w:themeColor="accent4"/>
          <w:bottom w:val="single" w:sz="8" w:space="0" w:color="1AC987" w:themeColor="accent4"/>
          <w:right w:val="single" w:sz="8" w:space="0" w:color="1AC987" w:themeColor="accent4"/>
        </w:tcBorders>
      </w:tcPr>
    </w:tblStylePr>
    <w:tblStylePr w:type="firstCol">
      <w:rPr>
        <w:b/>
        <w:bCs/>
      </w:rPr>
    </w:tblStylePr>
    <w:tblStylePr w:type="lastCol">
      <w:rPr>
        <w:b/>
        <w:bCs/>
      </w:rPr>
    </w:tblStylePr>
    <w:tblStylePr w:type="band1Vert">
      <w:tblPr/>
      <w:tcPr>
        <w:tcBorders>
          <w:top w:val="single" w:sz="8" w:space="0" w:color="1AC987" w:themeColor="accent4"/>
          <w:left w:val="single" w:sz="8" w:space="0" w:color="1AC987" w:themeColor="accent4"/>
          <w:bottom w:val="single" w:sz="8" w:space="0" w:color="1AC987" w:themeColor="accent4"/>
          <w:right w:val="single" w:sz="8" w:space="0" w:color="1AC987" w:themeColor="accent4"/>
        </w:tcBorders>
      </w:tcPr>
    </w:tblStylePr>
    <w:tblStylePr w:type="band1Horz">
      <w:tblPr/>
      <w:tcPr>
        <w:tcBorders>
          <w:top w:val="single" w:sz="8" w:space="0" w:color="1AC987" w:themeColor="accent4"/>
          <w:left w:val="single" w:sz="8" w:space="0" w:color="1AC987" w:themeColor="accent4"/>
          <w:bottom w:val="single" w:sz="8" w:space="0" w:color="1AC987" w:themeColor="accent4"/>
          <w:right w:val="single" w:sz="8" w:space="0" w:color="1AC987"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FA91B6" w:themeColor="accent5"/>
        <w:left w:val="single" w:sz="8" w:space="0" w:color="FA91B6" w:themeColor="accent5"/>
        <w:bottom w:val="single" w:sz="8" w:space="0" w:color="FA91B6" w:themeColor="accent5"/>
        <w:right w:val="single" w:sz="8" w:space="0" w:color="FA91B6" w:themeColor="accent5"/>
      </w:tblBorders>
    </w:tblPr>
    <w:tblStylePr w:type="firstRow">
      <w:pPr>
        <w:spacing w:before="0" w:after="0" w:line="240" w:lineRule="auto"/>
      </w:pPr>
      <w:rPr>
        <w:b/>
        <w:bCs/>
        <w:color w:val="FFFFFF" w:themeColor="background1"/>
      </w:rPr>
      <w:tblPr/>
      <w:tcPr>
        <w:shd w:val="clear" w:color="auto" w:fill="FA91B6" w:themeFill="accent5"/>
      </w:tcPr>
    </w:tblStylePr>
    <w:tblStylePr w:type="lastRow">
      <w:pPr>
        <w:spacing w:before="0" w:after="0" w:line="240" w:lineRule="auto"/>
      </w:pPr>
      <w:rPr>
        <w:b/>
        <w:bCs/>
      </w:rPr>
      <w:tblPr/>
      <w:tcPr>
        <w:tcBorders>
          <w:top w:val="double" w:sz="6" w:space="0" w:color="FA91B6" w:themeColor="accent5"/>
          <w:left w:val="single" w:sz="8" w:space="0" w:color="FA91B6" w:themeColor="accent5"/>
          <w:bottom w:val="single" w:sz="8" w:space="0" w:color="FA91B6" w:themeColor="accent5"/>
          <w:right w:val="single" w:sz="8" w:space="0" w:color="FA91B6" w:themeColor="accent5"/>
        </w:tcBorders>
      </w:tcPr>
    </w:tblStylePr>
    <w:tblStylePr w:type="firstCol">
      <w:rPr>
        <w:b/>
        <w:bCs/>
      </w:rPr>
    </w:tblStylePr>
    <w:tblStylePr w:type="lastCol">
      <w:rPr>
        <w:b/>
        <w:bCs/>
      </w:rPr>
    </w:tblStylePr>
    <w:tblStylePr w:type="band1Vert">
      <w:tblPr/>
      <w:tcPr>
        <w:tcBorders>
          <w:top w:val="single" w:sz="8" w:space="0" w:color="FA91B6" w:themeColor="accent5"/>
          <w:left w:val="single" w:sz="8" w:space="0" w:color="FA91B6" w:themeColor="accent5"/>
          <w:bottom w:val="single" w:sz="8" w:space="0" w:color="FA91B6" w:themeColor="accent5"/>
          <w:right w:val="single" w:sz="8" w:space="0" w:color="FA91B6" w:themeColor="accent5"/>
        </w:tcBorders>
      </w:tcPr>
    </w:tblStylePr>
    <w:tblStylePr w:type="band1Horz">
      <w:tblPr/>
      <w:tcPr>
        <w:tcBorders>
          <w:top w:val="single" w:sz="8" w:space="0" w:color="FA91B6" w:themeColor="accent5"/>
          <w:left w:val="single" w:sz="8" w:space="0" w:color="FA91B6" w:themeColor="accent5"/>
          <w:bottom w:val="single" w:sz="8" w:space="0" w:color="FA91B6" w:themeColor="accent5"/>
          <w:right w:val="single" w:sz="8" w:space="0" w:color="FA91B6"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8A68C8" w:themeColor="accent6"/>
        <w:left w:val="single" w:sz="8" w:space="0" w:color="8A68C8" w:themeColor="accent6"/>
        <w:bottom w:val="single" w:sz="8" w:space="0" w:color="8A68C8" w:themeColor="accent6"/>
        <w:right w:val="single" w:sz="8" w:space="0" w:color="8A68C8" w:themeColor="accent6"/>
      </w:tblBorders>
    </w:tblPr>
    <w:tblStylePr w:type="firstRow">
      <w:pPr>
        <w:spacing w:before="0" w:after="0" w:line="240" w:lineRule="auto"/>
      </w:pPr>
      <w:rPr>
        <w:b/>
        <w:bCs/>
        <w:color w:val="FFFFFF" w:themeColor="background1"/>
      </w:rPr>
      <w:tblPr/>
      <w:tcPr>
        <w:shd w:val="clear" w:color="auto" w:fill="8A68C8" w:themeFill="accent6"/>
      </w:tcPr>
    </w:tblStylePr>
    <w:tblStylePr w:type="lastRow">
      <w:pPr>
        <w:spacing w:before="0" w:after="0" w:line="240" w:lineRule="auto"/>
      </w:pPr>
      <w:rPr>
        <w:b/>
        <w:bCs/>
      </w:rPr>
      <w:tblPr/>
      <w:tcPr>
        <w:tcBorders>
          <w:top w:val="double" w:sz="6" w:space="0" w:color="8A68C8" w:themeColor="accent6"/>
          <w:left w:val="single" w:sz="8" w:space="0" w:color="8A68C8" w:themeColor="accent6"/>
          <w:bottom w:val="single" w:sz="8" w:space="0" w:color="8A68C8" w:themeColor="accent6"/>
          <w:right w:val="single" w:sz="8" w:space="0" w:color="8A68C8" w:themeColor="accent6"/>
        </w:tcBorders>
      </w:tcPr>
    </w:tblStylePr>
    <w:tblStylePr w:type="firstCol">
      <w:rPr>
        <w:b/>
        <w:bCs/>
      </w:rPr>
    </w:tblStylePr>
    <w:tblStylePr w:type="lastCol">
      <w:rPr>
        <w:b/>
        <w:bCs/>
      </w:rPr>
    </w:tblStylePr>
    <w:tblStylePr w:type="band1Vert">
      <w:tblPr/>
      <w:tcPr>
        <w:tcBorders>
          <w:top w:val="single" w:sz="8" w:space="0" w:color="8A68C8" w:themeColor="accent6"/>
          <w:left w:val="single" w:sz="8" w:space="0" w:color="8A68C8" w:themeColor="accent6"/>
          <w:bottom w:val="single" w:sz="8" w:space="0" w:color="8A68C8" w:themeColor="accent6"/>
          <w:right w:val="single" w:sz="8" w:space="0" w:color="8A68C8" w:themeColor="accent6"/>
        </w:tcBorders>
      </w:tcPr>
    </w:tblStylePr>
    <w:tblStylePr w:type="band1Horz">
      <w:tblPr/>
      <w:tcPr>
        <w:tcBorders>
          <w:top w:val="single" w:sz="8" w:space="0" w:color="8A68C8" w:themeColor="accent6"/>
          <w:left w:val="single" w:sz="8" w:space="0" w:color="8A68C8" w:themeColor="accent6"/>
          <w:bottom w:val="single" w:sz="8" w:space="0" w:color="8A68C8" w:themeColor="accent6"/>
          <w:right w:val="single" w:sz="8" w:space="0" w:color="8A68C8" w:themeColor="accent6"/>
        </w:tcBorders>
      </w:tcPr>
    </w:tblStylePr>
  </w:style>
  <w:style w:type="table" w:styleId="LightShading">
    <w:name w:val="Light Shading"/>
    <w:basedOn w:val="TableNormal"/>
    <w:uiPriority w:val="60"/>
    <w:locked/>
    <w:rsid w:val="00F8075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line="240" w:lineRule="auto"/>
    </w:pPr>
    <w:rPr>
      <w:color w:val="BFA400" w:themeColor="accent1" w:themeShade="BF"/>
    </w:rPr>
    <w:tblPr>
      <w:tblStyleRowBandSize w:val="1"/>
      <w:tblStyleColBandSize w:val="1"/>
      <w:tblBorders>
        <w:top w:val="single" w:sz="8" w:space="0" w:color="FFDC00" w:themeColor="accent1"/>
        <w:bottom w:val="single" w:sz="8" w:space="0" w:color="FFDC00" w:themeColor="accent1"/>
      </w:tblBorders>
    </w:tblPr>
    <w:tblStylePr w:type="firstRow">
      <w:pPr>
        <w:spacing w:before="0" w:after="0" w:line="240" w:lineRule="auto"/>
      </w:pPr>
      <w:rPr>
        <w:b/>
        <w:bCs/>
      </w:rPr>
      <w:tblPr/>
      <w:tcPr>
        <w:tcBorders>
          <w:top w:val="single" w:sz="8" w:space="0" w:color="FFDC00" w:themeColor="accent1"/>
          <w:left w:val="nil"/>
          <w:bottom w:val="single" w:sz="8" w:space="0" w:color="FFDC00" w:themeColor="accent1"/>
          <w:right w:val="nil"/>
          <w:insideH w:val="nil"/>
          <w:insideV w:val="nil"/>
        </w:tcBorders>
      </w:tcPr>
    </w:tblStylePr>
    <w:tblStylePr w:type="lastRow">
      <w:pPr>
        <w:spacing w:before="0" w:after="0" w:line="240" w:lineRule="auto"/>
      </w:pPr>
      <w:rPr>
        <w:b/>
        <w:bCs/>
      </w:rPr>
      <w:tblPr/>
      <w:tcPr>
        <w:tcBorders>
          <w:top w:val="single" w:sz="8" w:space="0" w:color="FFDC00" w:themeColor="accent1"/>
          <w:left w:val="nil"/>
          <w:bottom w:val="single" w:sz="8" w:space="0" w:color="FFD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1" w:themeFillTint="3F"/>
      </w:tcPr>
    </w:tblStylePr>
    <w:tblStylePr w:type="band1Horz">
      <w:tblPr/>
      <w:tcPr>
        <w:tcBorders>
          <w:left w:val="nil"/>
          <w:right w:val="nil"/>
          <w:insideH w:val="nil"/>
          <w:insideV w:val="nil"/>
        </w:tcBorders>
        <w:shd w:val="clear" w:color="auto" w:fill="FFF6C0" w:themeFill="accent1" w:themeFillTint="3F"/>
      </w:tcPr>
    </w:tblStylePr>
  </w:style>
  <w:style w:type="table" w:styleId="LightShading-Accent2">
    <w:name w:val="Light Shading Accent 2"/>
    <w:basedOn w:val="TableNormal"/>
    <w:uiPriority w:val="60"/>
    <w:locked/>
    <w:rsid w:val="00F80750"/>
    <w:pPr>
      <w:spacing w:after="0" w:line="240" w:lineRule="auto"/>
    </w:pPr>
    <w:rPr>
      <w:color w:val="FF0E05" w:themeColor="accent2" w:themeShade="BF"/>
    </w:rPr>
    <w:tblPr>
      <w:tblStyleRowBandSize w:val="1"/>
      <w:tblStyleColBandSize w:val="1"/>
      <w:tblBorders>
        <w:top w:val="single" w:sz="8" w:space="0" w:color="FF635D" w:themeColor="accent2"/>
        <w:bottom w:val="single" w:sz="8" w:space="0" w:color="FF635D" w:themeColor="accent2"/>
      </w:tblBorders>
    </w:tblPr>
    <w:tblStylePr w:type="firstRow">
      <w:pPr>
        <w:spacing w:before="0" w:after="0" w:line="240" w:lineRule="auto"/>
      </w:pPr>
      <w:rPr>
        <w:b/>
        <w:bCs/>
      </w:rPr>
      <w:tblPr/>
      <w:tcPr>
        <w:tcBorders>
          <w:top w:val="single" w:sz="8" w:space="0" w:color="FF635D" w:themeColor="accent2"/>
          <w:left w:val="nil"/>
          <w:bottom w:val="single" w:sz="8" w:space="0" w:color="FF635D" w:themeColor="accent2"/>
          <w:right w:val="nil"/>
          <w:insideH w:val="nil"/>
          <w:insideV w:val="nil"/>
        </w:tcBorders>
      </w:tcPr>
    </w:tblStylePr>
    <w:tblStylePr w:type="lastRow">
      <w:pPr>
        <w:spacing w:before="0" w:after="0" w:line="240" w:lineRule="auto"/>
      </w:pPr>
      <w:rPr>
        <w:b/>
        <w:bCs/>
      </w:rPr>
      <w:tblPr/>
      <w:tcPr>
        <w:tcBorders>
          <w:top w:val="single" w:sz="8" w:space="0" w:color="FF635D" w:themeColor="accent2"/>
          <w:left w:val="nil"/>
          <w:bottom w:val="single" w:sz="8" w:space="0" w:color="FF635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D6" w:themeFill="accent2" w:themeFillTint="3F"/>
      </w:tcPr>
    </w:tblStylePr>
    <w:tblStylePr w:type="band1Horz">
      <w:tblPr/>
      <w:tcPr>
        <w:tcBorders>
          <w:left w:val="nil"/>
          <w:right w:val="nil"/>
          <w:insideH w:val="nil"/>
          <w:insideV w:val="nil"/>
        </w:tcBorders>
        <w:shd w:val="clear" w:color="auto" w:fill="FFD8D6" w:themeFill="accent2" w:themeFillTint="3F"/>
      </w:tcPr>
    </w:tblStylePr>
  </w:style>
  <w:style w:type="table" w:styleId="LightShading-Accent3">
    <w:name w:val="Light Shading Accent 3"/>
    <w:basedOn w:val="TableNormal"/>
    <w:uiPriority w:val="60"/>
    <w:locked/>
    <w:rsid w:val="00F80750"/>
    <w:pPr>
      <w:spacing w:after="0" w:line="240" w:lineRule="auto"/>
    </w:pPr>
    <w:rPr>
      <w:color w:val="2D4794" w:themeColor="accent3" w:themeShade="BF"/>
    </w:rPr>
    <w:tblPr>
      <w:tblStyleRowBandSize w:val="1"/>
      <w:tblStyleColBandSize w:val="1"/>
      <w:tblBorders>
        <w:top w:val="single" w:sz="8" w:space="0" w:color="3F61C4" w:themeColor="accent3"/>
        <w:bottom w:val="single" w:sz="8" w:space="0" w:color="3F61C4" w:themeColor="accent3"/>
      </w:tblBorders>
    </w:tblPr>
    <w:tblStylePr w:type="firstRow">
      <w:pPr>
        <w:spacing w:before="0" w:after="0" w:line="240" w:lineRule="auto"/>
      </w:pPr>
      <w:rPr>
        <w:b/>
        <w:bCs/>
      </w:rPr>
      <w:tblPr/>
      <w:tcPr>
        <w:tcBorders>
          <w:top w:val="single" w:sz="8" w:space="0" w:color="3F61C4" w:themeColor="accent3"/>
          <w:left w:val="nil"/>
          <w:bottom w:val="single" w:sz="8" w:space="0" w:color="3F61C4" w:themeColor="accent3"/>
          <w:right w:val="nil"/>
          <w:insideH w:val="nil"/>
          <w:insideV w:val="nil"/>
        </w:tcBorders>
      </w:tcPr>
    </w:tblStylePr>
    <w:tblStylePr w:type="lastRow">
      <w:pPr>
        <w:spacing w:before="0" w:after="0" w:line="240" w:lineRule="auto"/>
      </w:pPr>
      <w:rPr>
        <w:b/>
        <w:bCs/>
      </w:rPr>
      <w:tblPr/>
      <w:tcPr>
        <w:tcBorders>
          <w:top w:val="single" w:sz="8" w:space="0" w:color="3F61C4" w:themeColor="accent3"/>
          <w:left w:val="nil"/>
          <w:bottom w:val="single" w:sz="8" w:space="0" w:color="3F61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7F0" w:themeFill="accent3" w:themeFillTint="3F"/>
      </w:tcPr>
    </w:tblStylePr>
    <w:tblStylePr w:type="band1Horz">
      <w:tblPr/>
      <w:tcPr>
        <w:tcBorders>
          <w:left w:val="nil"/>
          <w:right w:val="nil"/>
          <w:insideH w:val="nil"/>
          <w:insideV w:val="nil"/>
        </w:tcBorders>
        <w:shd w:val="clear" w:color="auto" w:fill="CFD7F0" w:themeFill="accent3" w:themeFillTint="3F"/>
      </w:tcPr>
    </w:tblStylePr>
  </w:style>
  <w:style w:type="table" w:styleId="LightShading-Accent4">
    <w:name w:val="Light Shading Accent 4"/>
    <w:basedOn w:val="TableNormal"/>
    <w:uiPriority w:val="60"/>
    <w:locked/>
    <w:rsid w:val="00F80750"/>
    <w:pPr>
      <w:spacing w:after="0" w:line="240" w:lineRule="auto"/>
    </w:pPr>
    <w:rPr>
      <w:color w:val="139664" w:themeColor="accent4" w:themeShade="BF"/>
    </w:rPr>
    <w:tblPr>
      <w:tblStyleRowBandSize w:val="1"/>
      <w:tblStyleColBandSize w:val="1"/>
      <w:tblBorders>
        <w:top w:val="single" w:sz="8" w:space="0" w:color="1AC987" w:themeColor="accent4"/>
        <w:bottom w:val="single" w:sz="8" w:space="0" w:color="1AC987" w:themeColor="accent4"/>
      </w:tblBorders>
    </w:tblPr>
    <w:tblStylePr w:type="firstRow">
      <w:pPr>
        <w:spacing w:before="0" w:after="0" w:line="240" w:lineRule="auto"/>
      </w:pPr>
      <w:rPr>
        <w:b/>
        <w:bCs/>
      </w:rPr>
      <w:tblPr/>
      <w:tcPr>
        <w:tcBorders>
          <w:top w:val="single" w:sz="8" w:space="0" w:color="1AC987" w:themeColor="accent4"/>
          <w:left w:val="nil"/>
          <w:bottom w:val="single" w:sz="8" w:space="0" w:color="1AC987" w:themeColor="accent4"/>
          <w:right w:val="nil"/>
          <w:insideH w:val="nil"/>
          <w:insideV w:val="nil"/>
        </w:tcBorders>
      </w:tcPr>
    </w:tblStylePr>
    <w:tblStylePr w:type="lastRow">
      <w:pPr>
        <w:spacing w:before="0" w:after="0" w:line="240" w:lineRule="auto"/>
      </w:pPr>
      <w:rPr>
        <w:b/>
        <w:bCs/>
      </w:rPr>
      <w:tblPr/>
      <w:tcPr>
        <w:tcBorders>
          <w:top w:val="single" w:sz="8" w:space="0" w:color="1AC987" w:themeColor="accent4"/>
          <w:left w:val="nil"/>
          <w:bottom w:val="single" w:sz="8" w:space="0" w:color="1AC9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7E2" w:themeFill="accent4" w:themeFillTint="3F"/>
      </w:tcPr>
    </w:tblStylePr>
    <w:tblStylePr w:type="band1Horz">
      <w:tblPr/>
      <w:tcPr>
        <w:tcBorders>
          <w:left w:val="nil"/>
          <w:right w:val="nil"/>
          <w:insideH w:val="nil"/>
          <w:insideV w:val="nil"/>
        </w:tcBorders>
        <w:shd w:val="clear" w:color="auto" w:fill="C1F7E2" w:themeFill="accent4" w:themeFillTint="3F"/>
      </w:tcPr>
    </w:tblStylePr>
  </w:style>
  <w:style w:type="table" w:styleId="LightShading-Accent5">
    <w:name w:val="Light Shading Accent 5"/>
    <w:basedOn w:val="TableNormal"/>
    <w:uiPriority w:val="60"/>
    <w:locked/>
    <w:rsid w:val="00F80750"/>
    <w:pPr>
      <w:spacing w:after="0" w:line="240" w:lineRule="auto"/>
    </w:pPr>
    <w:rPr>
      <w:color w:val="F53276" w:themeColor="accent5" w:themeShade="BF"/>
    </w:rPr>
    <w:tblPr>
      <w:tblStyleRowBandSize w:val="1"/>
      <w:tblStyleColBandSize w:val="1"/>
      <w:tblBorders>
        <w:top w:val="single" w:sz="8" w:space="0" w:color="FA91B6" w:themeColor="accent5"/>
        <w:bottom w:val="single" w:sz="8" w:space="0" w:color="FA91B6" w:themeColor="accent5"/>
      </w:tblBorders>
    </w:tblPr>
    <w:tblStylePr w:type="firstRow">
      <w:pPr>
        <w:spacing w:before="0" w:after="0" w:line="240" w:lineRule="auto"/>
      </w:pPr>
      <w:rPr>
        <w:b/>
        <w:bCs/>
      </w:rPr>
      <w:tblPr/>
      <w:tcPr>
        <w:tcBorders>
          <w:top w:val="single" w:sz="8" w:space="0" w:color="FA91B6" w:themeColor="accent5"/>
          <w:left w:val="nil"/>
          <w:bottom w:val="single" w:sz="8" w:space="0" w:color="FA91B6" w:themeColor="accent5"/>
          <w:right w:val="nil"/>
          <w:insideH w:val="nil"/>
          <w:insideV w:val="nil"/>
        </w:tcBorders>
      </w:tcPr>
    </w:tblStylePr>
    <w:tblStylePr w:type="lastRow">
      <w:pPr>
        <w:spacing w:before="0" w:after="0" w:line="240" w:lineRule="auto"/>
      </w:pPr>
      <w:rPr>
        <w:b/>
        <w:bCs/>
      </w:rPr>
      <w:tblPr/>
      <w:tcPr>
        <w:tcBorders>
          <w:top w:val="single" w:sz="8" w:space="0" w:color="FA91B6" w:themeColor="accent5"/>
          <w:left w:val="nil"/>
          <w:bottom w:val="single" w:sz="8" w:space="0" w:color="FA91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3EC" w:themeFill="accent5" w:themeFillTint="3F"/>
      </w:tcPr>
    </w:tblStylePr>
    <w:tblStylePr w:type="band1Horz">
      <w:tblPr/>
      <w:tcPr>
        <w:tcBorders>
          <w:left w:val="nil"/>
          <w:right w:val="nil"/>
          <w:insideH w:val="nil"/>
          <w:insideV w:val="nil"/>
        </w:tcBorders>
        <w:shd w:val="clear" w:color="auto" w:fill="FDE3EC" w:themeFill="accent5" w:themeFillTint="3F"/>
      </w:tcPr>
    </w:tblStylePr>
  </w:style>
  <w:style w:type="table" w:styleId="LightShading-Accent6">
    <w:name w:val="Light Shading Accent 6"/>
    <w:basedOn w:val="TableNormal"/>
    <w:uiPriority w:val="60"/>
    <w:locked/>
    <w:rsid w:val="00F80750"/>
    <w:pPr>
      <w:spacing w:after="0" w:line="240" w:lineRule="auto"/>
    </w:pPr>
    <w:rPr>
      <w:color w:val="623CA6" w:themeColor="accent6" w:themeShade="BF"/>
    </w:rPr>
    <w:tblPr>
      <w:tblStyleRowBandSize w:val="1"/>
      <w:tblStyleColBandSize w:val="1"/>
      <w:tblBorders>
        <w:top w:val="single" w:sz="8" w:space="0" w:color="8A68C8" w:themeColor="accent6"/>
        <w:bottom w:val="single" w:sz="8" w:space="0" w:color="8A68C8" w:themeColor="accent6"/>
      </w:tblBorders>
    </w:tblPr>
    <w:tblStylePr w:type="firstRow">
      <w:pPr>
        <w:spacing w:before="0" w:after="0" w:line="240" w:lineRule="auto"/>
      </w:pPr>
      <w:rPr>
        <w:b/>
        <w:bCs/>
      </w:rPr>
      <w:tblPr/>
      <w:tcPr>
        <w:tcBorders>
          <w:top w:val="single" w:sz="8" w:space="0" w:color="8A68C8" w:themeColor="accent6"/>
          <w:left w:val="nil"/>
          <w:bottom w:val="single" w:sz="8" w:space="0" w:color="8A68C8" w:themeColor="accent6"/>
          <w:right w:val="nil"/>
          <w:insideH w:val="nil"/>
          <w:insideV w:val="nil"/>
        </w:tcBorders>
      </w:tcPr>
    </w:tblStylePr>
    <w:tblStylePr w:type="lastRow">
      <w:pPr>
        <w:spacing w:before="0" w:after="0" w:line="240" w:lineRule="auto"/>
      </w:pPr>
      <w:rPr>
        <w:b/>
        <w:bCs/>
      </w:rPr>
      <w:tblPr/>
      <w:tcPr>
        <w:tcBorders>
          <w:top w:val="single" w:sz="8" w:space="0" w:color="8A68C8" w:themeColor="accent6"/>
          <w:left w:val="nil"/>
          <w:bottom w:val="single" w:sz="8" w:space="0" w:color="8A6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9F1" w:themeFill="accent6" w:themeFillTint="3F"/>
      </w:tcPr>
    </w:tblStylePr>
    <w:tblStylePr w:type="band1Horz">
      <w:tblPr/>
      <w:tcPr>
        <w:tcBorders>
          <w:left w:val="nil"/>
          <w:right w:val="nil"/>
          <w:insideH w:val="nil"/>
          <w:insideV w:val="nil"/>
        </w:tcBorders>
        <w:shd w:val="clear" w:color="auto" w:fill="E1D9F1"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ind w:left="283" w:hanging="283"/>
      <w:contextualSpacing/>
    </w:pPr>
  </w:style>
  <w:style w:type="paragraph" w:styleId="List2">
    <w:name w:val="List 2"/>
    <w:basedOn w:val="Normal"/>
    <w:uiPriority w:val="99"/>
    <w:semiHidden/>
    <w:locked/>
    <w:rsid w:val="00F80750"/>
    <w:pPr>
      <w:ind w:left="566" w:hanging="283"/>
      <w:contextualSpacing/>
    </w:pPr>
  </w:style>
  <w:style w:type="paragraph" w:styleId="List3">
    <w:name w:val="List 3"/>
    <w:basedOn w:val="Normal"/>
    <w:uiPriority w:val="99"/>
    <w:semiHidden/>
    <w:locked/>
    <w:rsid w:val="00F80750"/>
    <w:pPr>
      <w:ind w:left="849" w:hanging="283"/>
      <w:contextualSpacing/>
    </w:pPr>
  </w:style>
  <w:style w:type="paragraph" w:styleId="List4">
    <w:name w:val="List 4"/>
    <w:basedOn w:val="Normal"/>
    <w:uiPriority w:val="99"/>
    <w:semiHidden/>
    <w:locked/>
    <w:rsid w:val="00F80750"/>
    <w:pPr>
      <w:ind w:left="1132" w:hanging="283"/>
      <w:contextualSpacing/>
    </w:pPr>
  </w:style>
  <w:style w:type="paragraph" w:styleId="List5">
    <w:name w:val="List 5"/>
    <w:basedOn w:val="Normal"/>
    <w:uiPriority w:val="99"/>
    <w:semiHidden/>
    <w:locked/>
    <w:rsid w:val="00F80750"/>
    <w:pPr>
      <w:ind w:left="1415" w:hanging="283"/>
      <w:contextualSpacing/>
    </w:pPr>
  </w:style>
  <w:style w:type="paragraph" w:styleId="ListBullet5">
    <w:name w:val="List Bullet 5"/>
    <w:basedOn w:val="Normal"/>
    <w:uiPriority w:val="99"/>
    <w:semiHidden/>
    <w:locked/>
    <w:rsid w:val="00F80750"/>
    <w:pPr>
      <w:numPr>
        <w:numId w:val="6"/>
      </w:numPr>
      <w:contextualSpacing/>
    </w:pPr>
  </w:style>
  <w:style w:type="paragraph" w:styleId="ListContinue">
    <w:name w:val="List Continue"/>
    <w:basedOn w:val="Normal"/>
    <w:uiPriority w:val="99"/>
    <w:semiHidden/>
    <w:locked/>
    <w:rsid w:val="00F80750"/>
    <w:pPr>
      <w:ind w:left="283"/>
      <w:contextualSpacing/>
    </w:pPr>
  </w:style>
  <w:style w:type="paragraph" w:styleId="ListContinue2">
    <w:name w:val="List Continue 2"/>
    <w:basedOn w:val="Normal"/>
    <w:uiPriority w:val="99"/>
    <w:semiHidden/>
    <w:locked/>
    <w:rsid w:val="00F80750"/>
    <w:pPr>
      <w:ind w:left="566"/>
      <w:contextualSpacing/>
    </w:pPr>
  </w:style>
  <w:style w:type="paragraph" w:styleId="ListContinue3">
    <w:name w:val="List Continue 3"/>
    <w:basedOn w:val="Normal"/>
    <w:uiPriority w:val="99"/>
    <w:semiHidden/>
    <w:locked/>
    <w:rsid w:val="00F80750"/>
    <w:pPr>
      <w:ind w:left="849"/>
      <w:contextualSpacing/>
    </w:pPr>
  </w:style>
  <w:style w:type="paragraph" w:styleId="ListContinue4">
    <w:name w:val="List Continue 4"/>
    <w:basedOn w:val="Normal"/>
    <w:uiPriority w:val="99"/>
    <w:semiHidden/>
    <w:locked/>
    <w:rsid w:val="00F80750"/>
    <w:pPr>
      <w:ind w:left="1132"/>
      <w:contextualSpacing/>
    </w:pPr>
  </w:style>
  <w:style w:type="paragraph" w:styleId="ListContinue5">
    <w:name w:val="List Continue 5"/>
    <w:basedOn w:val="Normal"/>
    <w:uiPriority w:val="99"/>
    <w:semiHidden/>
    <w:locked/>
    <w:rsid w:val="00F80750"/>
    <w:pPr>
      <w:ind w:left="1415"/>
      <w:contextualSpacing/>
    </w:pPr>
  </w:style>
  <w:style w:type="paragraph" w:styleId="ListNumber5">
    <w:name w:val="List Number 5"/>
    <w:basedOn w:val="Normal"/>
    <w:uiPriority w:val="99"/>
    <w:semiHidden/>
    <w:locked/>
    <w:rsid w:val="00F80750"/>
    <w:pPr>
      <w:numPr>
        <w:numId w:val="7"/>
      </w:numPr>
      <w:contextualSpacing/>
    </w:pPr>
  </w:style>
  <w:style w:type="paragraph" w:styleId="ListParagraph">
    <w:name w:val="List Paragraph"/>
    <w:link w:val="ListParagraphChar"/>
    <w:uiPriority w:val="34"/>
    <w:qFormat/>
    <w:rsid w:val="002C2F55"/>
    <w:pPr>
      <w:tabs>
        <w:tab w:val="left" w:pos="357"/>
      </w:tabs>
      <w:ind w:left="357"/>
      <w:contextualSpacing/>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FE440" w:themeColor="accent1" w:themeTint="BF"/>
        <w:left w:val="single" w:sz="8" w:space="0" w:color="FFE440" w:themeColor="accent1" w:themeTint="BF"/>
        <w:bottom w:val="single" w:sz="8" w:space="0" w:color="FFE440" w:themeColor="accent1" w:themeTint="BF"/>
        <w:right w:val="single" w:sz="8" w:space="0" w:color="FFE440" w:themeColor="accent1" w:themeTint="BF"/>
        <w:insideH w:val="single" w:sz="8" w:space="0" w:color="FFE440" w:themeColor="accent1" w:themeTint="BF"/>
        <w:insideV w:val="single" w:sz="8" w:space="0" w:color="FFE440" w:themeColor="accent1" w:themeTint="BF"/>
      </w:tblBorders>
    </w:tblPr>
    <w:tcPr>
      <w:shd w:val="clear" w:color="auto" w:fill="FFF6C0" w:themeFill="accent1" w:themeFillTint="3F"/>
    </w:tcPr>
    <w:tblStylePr w:type="firstRow">
      <w:rPr>
        <w:b/>
        <w:bCs/>
      </w:rPr>
    </w:tblStylePr>
    <w:tblStylePr w:type="lastRow">
      <w:rPr>
        <w:b/>
        <w:bCs/>
      </w:rPr>
      <w:tblPr/>
      <w:tcPr>
        <w:tcBorders>
          <w:top w:val="single" w:sz="18" w:space="0" w:color="FFE440" w:themeColor="accent1" w:themeTint="BF"/>
        </w:tcBorders>
      </w:tcPr>
    </w:tblStylePr>
    <w:tblStylePr w:type="firstCol">
      <w:rPr>
        <w:b/>
        <w:bCs/>
      </w:rPr>
    </w:tblStylePr>
    <w:tblStylePr w:type="lastCol">
      <w:rPr>
        <w:b/>
        <w:bCs/>
      </w:rPr>
    </w:tblStylePr>
    <w:tblStylePr w:type="band1Vert">
      <w:tblPr/>
      <w:tcPr>
        <w:shd w:val="clear" w:color="auto" w:fill="FFED80" w:themeFill="accent1" w:themeFillTint="7F"/>
      </w:tcPr>
    </w:tblStylePr>
    <w:tblStylePr w:type="band1Horz">
      <w:tblPr/>
      <w:tcPr>
        <w:shd w:val="clear" w:color="auto" w:fill="FFED80"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FF8985" w:themeColor="accent2" w:themeTint="BF"/>
        <w:left w:val="single" w:sz="8" w:space="0" w:color="FF8985" w:themeColor="accent2" w:themeTint="BF"/>
        <w:bottom w:val="single" w:sz="8" w:space="0" w:color="FF8985" w:themeColor="accent2" w:themeTint="BF"/>
        <w:right w:val="single" w:sz="8" w:space="0" w:color="FF8985" w:themeColor="accent2" w:themeTint="BF"/>
        <w:insideH w:val="single" w:sz="8" w:space="0" w:color="FF8985" w:themeColor="accent2" w:themeTint="BF"/>
        <w:insideV w:val="single" w:sz="8" w:space="0" w:color="FF8985" w:themeColor="accent2" w:themeTint="BF"/>
      </w:tblBorders>
    </w:tblPr>
    <w:tcPr>
      <w:shd w:val="clear" w:color="auto" w:fill="FFD8D6" w:themeFill="accent2" w:themeFillTint="3F"/>
    </w:tcPr>
    <w:tblStylePr w:type="firstRow">
      <w:rPr>
        <w:b/>
        <w:bCs/>
      </w:rPr>
    </w:tblStylePr>
    <w:tblStylePr w:type="lastRow">
      <w:rPr>
        <w:b/>
        <w:bCs/>
      </w:rPr>
      <w:tblPr/>
      <w:tcPr>
        <w:tcBorders>
          <w:top w:val="single" w:sz="18" w:space="0" w:color="FF8985" w:themeColor="accent2" w:themeTint="BF"/>
        </w:tcBorders>
      </w:tcPr>
    </w:tblStylePr>
    <w:tblStylePr w:type="firstCol">
      <w:rPr>
        <w:b/>
        <w:bCs/>
      </w:rPr>
    </w:tblStylePr>
    <w:tblStylePr w:type="lastCol">
      <w:rPr>
        <w:b/>
        <w:bCs/>
      </w:rPr>
    </w:tblStylePr>
    <w:tblStylePr w:type="band1Vert">
      <w:tblPr/>
      <w:tcPr>
        <w:shd w:val="clear" w:color="auto" w:fill="FFB0AE" w:themeFill="accent2" w:themeFillTint="7F"/>
      </w:tcPr>
    </w:tblStylePr>
    <w:tblStylePr w:type="band1Horz">
      <w:tblPr/>
      <w:tcPr>
        <w:shd w:val="clear" w:color="auto" w:fill="FFB0AE"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6E88D2" w:themeColor="accent3" w:themeTint="BF"/>
        <w:left w:val="single" w:sz="8" w:space="0" w:color="6E88D2" w:themeColor="accent3" w:themeTint="BF"/>
        <w:bottom w:val="single" w:sz="8" w:space="0" w:color="6E88D2" w:themeColor="accent3" w:themeTint="BF"/>
        <w:right w:val="single" w:sz="8" w:space="0" w:color="6E88D2" w:themeColor="accent3" w:themeTint="BF"/>
        <w:insideH w:val="single" w:sz="8" w:space="0" w:color="6E88D2" w:themeColor="accent3" w:themeTint="BF"/>
        <w:insideV w:val="single" w:sz="8" w:space="0" w:color="6E88D2" w:themeColor="accent3" w:themeTint="BF"/>
      </w:tblBorders>
    </w:tblPr>
    <w:tcPr>
      <w:shd w:val="clear" w:color="auto" w:fill="CFD7F0" w:themeFill="accent3" w:themeFillTint="3F"/>
    </w:tcPr>
    <w:tblStylePr w:type="firstRow">
      <w:rPr>
        <w:b/>
        <w:bCs/>
      </w:rPr>
    </w:tblStylePr>
    <w:tblStylePr w:type="lastRow">
      <w:rPr>
        <w:b/>
        <w:bCs/>
      </w:rPr>
      <w:tblPr/>
      <w:tcPr>
        <w:tcBorders>
          <w:top w:val="single" w:sz="18" w:space="0" w:color="6E88D2" w:themeColor="accent3" w:themeTint="BF"/>
        </w:tcBorders>
      </w:tcPr>
    </w:tblStylePr>
    <w:tblStylePr w:type="firstCol">
      <w:rPr>
        <w:b/>
        <w:bCs/>
      </w:rPr>
    </w:tblStylePr>
    <w:tblStylePr w:type="lastCol">
      <w:rPr>
        <w:b/>
        <w:bCs/>
      </w:rPr>
    </w:tblStylePr>
    <w:tblStylePr w:type="band1Vert">
      <w:tblPr/>
      <w:tcPr>
        <w:shd w:val="clear" w:color="auto" w:fill="9FAFE1" w:themeFill="accent3" w:themeFillTint="7F"/>
      </w:tcPr>
    </w:tblStylePr>
    <w:tblStylePr w:type="band1Horz">
      <w:tblPr/>
      <w:tcPr>
        <w:shd w:val="clear" w:color="auto" w:fill="9FAFE1"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43E6A8" w:themeColor="accent4" w:themeTint="BF"/>
        <w:left w:val="single" w:sz="8" w:space="0" w:color="43E6A8" w:themeColor="accent4" w:themeTint="BF"/>
        <w:bottom w:val="single" w:sz="8" w:space="0" w:color="43E6A8" w:themeColor="accent4" w:themeTint="BF"/>
        <w:right w:val="single" w:sz="8" w:space="0" w:color="43E6A8" w:themeColor="accent4" w:themeTint="BF"/>
        <w:insideH w:val="single" w:sz="8" w:space="0" w:color="43E6A8" w:themeColor="accent4" w:themeTint="BF"/>
        <w:insideV w:val="single" w:sz="8" w:space="0" w:color="43E6A8" w:themeColor="accent4" w:themeTint="BF"/>
      </w:tblBorders>
    </w:tblPr>
    <w:tcPr>
      <w:shd w:val="clear" w:color="auto" w:fill="C1F7E2" w:themeFill="accent4" w:themeFillTint="3F"/>
    </w:tcPr>
    <w:tblStylePr w:type="firstRow">
      <w:rPr>
        <w:b/>
        <w:bCs/>
      </w:rPr>
    </w:tblStylePr>
    <w:tblStylePr w:type="lastRow">
      <w:rPr>
        <w:b/>
        <w:bCs/>
      </w:rPr>
      <w:tblPr/>
      <w:tcPr>
        <w:tcBorders>
          <w:top w:val="single" w:sz="18" w:space="0" w:color="43E6A8" w:themeColor="accent4" w:themeTint="BF"/>
        </w:tcBorders>
      </w:tcPr>
    </w:tblStylePr>
    <w:tblStylePr w:type="firstCol">
      <w:rPr>
        <w:b/>
        <w:bCs/>
      </w:rPr>
    </w:tblStylePr>
    <w:tblStylePr w:type="lastCol">
      <w:rPr>
        <w:b/>
        <w:bCs/>
      </w:rPr>
    </w:tblStylePr>
    <w:tblStylePr w:type="band1Vert">
      <w:tblPr/>
      <w:tcPr>
        <w:shd w:val="clear" w:color="auto" w:fill="82EEC5" w:themeFill="accent4" w:themeFillTint="7F"/>
      </w:tcPr>
    </w:tblStylePr>
    <w:tblStylePr w:type="band1Horz">
      <w:tblPr/>
      <w:tcPr>
        <w:shd w:val="clear" w:color="auto" w:fill="82EEC5"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FBACC7" w:themeColor="accent5" w:themeTint="BF"/>
        <w:left w:val="single" w:sz="8" w:space="0" w:color="FBACC7" w:themeColor="accent5" w:themeTint="BF"/>
        <w:bottom w:val="single" w:sz="8" w:space="0" w:color="FBACC7" w:themeColor="accent5" w:themeTint="BF"/>
        <w:right w:val="single" w:sz="8" w:space="0" w:color="FBACC7" w:themeColor="accent5" w:themeTint="BF"/>
        <w:insideH w:val="single" w:sz="8" w:space="0" w:color="FBACC7" w:themeColor="accent5" w:themeTint="BF"/>
        <w:insideV w:val="single" w:sz="8" w:space="0" w:color="FBACC7" w:themeColor="accent5" w:themeTint="BF"/>
      </w:tblBorders>
    </w:tblPr>
    <w:tcPr>
      <w:shd w:val="clear" w:color="auto" w:fill="FDE3EC" w:themeFill="accent5" w:themeFillTint="3F"/>
    </w:tcPr>
    <w:tblStylePr w:type="firstRow">
      <w:rPr>
        <w:b/>
        <w:bCs/>
      </w:rPr>
    </w:tblStylePr>
    <w:tblStylePr w:type="lastRow">
      <w:rPr>
        <w:b/>
        <w:bCs/>
      </w:rPr>
      <w:tblPr/>
      <w:tcPr>
        <w:tcBorders>
          <w:top w:val="single" w:sz="18" w:space="0" w:color="FBACC7" w:themeColor="accent5" w:themeTint="BF"/>
        </w:tcBorders>
      </w:tcPr>
    </w:tblStylePr>
    <w:tblStylePr w:type="firstCol">
      <w:rPr>
        <w:b/>
        <w:bCs/>
      </w:rPr>
    </w:tblStylePr>
    <w:tblStylePr w:type="lastCol">
      <w:rPr>
        <w:b/>
        <w:bCs/>
      </w:rPr>
    </w:tblStylePr>
    <w:tblStylePr w:type="band1Vert">
      <w:tblPr/>
      <w:tcPr>
        <w:shd w:val="clear" w:color="auto" w:fill="FCC8DA" w:themeFill="accent5" w:themeFillTint="7F"/>
      </w:tcPr>
    </w:tblStylePr>
    <w:tblStylePr w:type="band1Horz">
      <w:tblPr/>
      <w:tcPr>
        <w:shd w:val="clear" w:color="auto" w:fill="FCC8DA"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A78DD5" w:themeColor="accent6" w:themeTint="BF"/>
        <w:left w:val="single" w:sz="8" w:space="0" w:color="A78DD5" w:themeColor="accent6" w:themeTint="BF"/>
        <w:bottom w:val="single" w:sz="8" w:space="0" w:color="A78DD5" w:themeColor="accent6" w:themeTint="BF"/>
        <w:right w:val="single" w:sz="8" w:space="0" w:color="A78DD5" w:themeColor="accent6" w:themeTint="BF"/>
        <w:insideH w:val="single" w:sz="8" w:space="0" w:color="A78DD5" w:themeColor="accent6" w:themeTint="BF"/>
        <w:insideV w:val="single" w:sz="8" w:space="0" w:color="A78DD5" w:themeColor="accent6" w:themeTint="BF"/>
      </w:tblBorders>
    </w:tblPr>
    <w:tcPr>
      <w:shd w:val="clear" w:color="auto" w:fill="E1D9F1" w:themeFill="accent6" w:themeFillTint="3F"/>
    </w:tcPr>
    <w:tblStylePr w:type="firstRow">
      <w:rPr>
        <w:b/>
        <w:bCs/>
      </w:rPr>
    </w:tblStylePr>
    <w:tblStylePr w:type="lastRow">
      <w:rPr>
        <w:b/>
        <w:bCs/>
      </w:rPr>
      <w:tblPr/>
      <w:tcPr>
        <w:tcBorders>
          <w:top w:val="single" w:sz="18" w:space="0" w:color="A78DD5" w:themeColor="accent6" w:themeTint="BF"/>
        </w:tcBorders>
      </w:tcPr>
    </w:tblStylePr>
    <w:tblStylePr w:type="firstCol">
      <w:rPr>
        <w:b/>
        <w:bCs/>
      </w:rPr>
    </w:tblStylePr>
    <w:tblStylePr w:type="lastCol">
      <w:rPr>
        <w:b/>
        <w:bCs/>
      </w:rPr>
    </w:tblStylePr>
    <w:tblStylePr w:type="band1Vert">
      <w:tblPr/>
      <w:tcPr>
        <w:shd w:val="clear" w:color="auto" w:fill="C4B3E3" w:themeFill="accent6" w:themeFillTint="7F"/>
      </w:tcPr>
    </w:tblStylePr>
    <w:tblStylePr w:type="band1Horz">
      <w:tblPr/>
      <w:tcPr>
        <w:shd w:val="clear" w:color="auto" w:fill="C4B3E3"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DC00" w:themeColor="accent1"/>
        <w:left w:val="single" w:sz="8" w:space="0" w:color="FFDC00" w:themeColor="accent1"/>
        <w:bottom w:val="single" w:sz="8" w:space="0" w:color="FFDC00" w:themeColor="accent1"/>
        <w:right w:val="single" w:sz="8" w:space="0" w:color="FFDC00" w:themeColor="accent1"/>
        <w:insideH w:val="single" w:sz="8" w:space="0" w:color="FFDC00" w:themeColor="accent1"/>
        <w:insideV w:val="single" w:sz="8" w:space="0" w:color="FFDC00" w:themeColor="accent1"/>
      </w:tblBorders>
    </w:tblPr>
    <w:tcPr>
      <w:shd w:val="clear" w:color="auto" w:fill="FFF6C0" w:themeFill="accent1" w:themeFillTint="3F"/>
    </w:tcPr>
    <w:tblStylePr w:type="firstRow">
      <w:rPr>
        <w:b/>
        <w:bCs/>
        <w:color w:val="000000" w:themeColor="text1"/>
      </w:rPr>
      <w:tblPr/>
      <w:tcPr>
        <w:shd w:val="clear" w:color="auto" w:fill="FFFB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8CC" w:themeFill="accent1" w:themeFillTint="33"/>
      </w:tcPr>
    </w:tblStylePr>
    <w:tblStylePr w:type="band1Vert">
      <w:tblPr/>
      <w:tcPr>
        <w:shd w:val="clear" w:color="auto" w:fill="FFED80" w:themeFill="accent1" w:themeFillTint="7F"/>
      </w:tcPr>
    </w:tblStylePr>
    <w:tblStylePr w:type="band1Horz">
      <w:tblPr/>
      <w:tcPr>
        <w:tcBorders>
          <w:insideH w:val="single" w:sz="6" w:space="0" w:color="FFDC00" w:themeColor="accent1"/>
          <w:insideV w:val="single" w:sz="6" w:space="0" w:color="FFDC00" w:themeColor="accent1"/>
        </w:tcBorders>
        <w:shd w:val="clear" w:color="auto" w:fill="FFED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635D" w:themeColor="accent2"/>
        <w:left w:val="single" w:sz="8" w:space="0" w:color="FF635D" w:themeColor="accent2"/>
        <w:bottom w:val="single" w:sz="8" w:space="0" w:color="FF635D" w:themeColor="accent2"/>
        <w:right w:val="single" w:sz="8" w:space="0" w:color="FF635D" w:themeColor="accent2"/>
        <w:insideH w:val="single" w:sz="8" w:space="0" w:color="FF635D" w:themeColor="accent2"/>
        <w:insideV w:val="single" w:sz="8" w:space="0" w:color="FF635D" w:themeColor="accent2"/>
      </w:tblBorders>
    </w:tblPr>
    <w:tcPr>
      <w:shd w:val="clear" w:color="auto" w:fill="FFD8D6" w:themeFill="accent2" w:themeFillTint="3F"/>
    </w:tcPr>
    <w:tblStylePr w:type="firstRow">
      <w:rPr>
        <w:b/>
        <w:bCs/>
        <w:color w:val="000000" w:themeColor="text1"/>
      </w:rPr>
      <w:tblPr/>
      <w:tcPr>
        <w:shd w:val="clear" w:color="auto" w:fill="FFEF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FDE" w:themeFill="accent2" w:themeFillTint="33"/>
      </w:tcPr>
    </w:tblStylePr>
    <w:tblStylePr w:type="band1Vert">
      <w:tblPr/>
      <w:tcPr>
        <w:shd w:val="clear" w:color="auto" w:fill="FFB0AE" w:themeFill="accent2" w:themeFillTint="7F"/>
      </w:tcPr>
    </w:tblStylePr>
    <w:tblStylePr w:type="band1Horz">
      <w:tblPr/>
      <w:tcPr>
        <w:tcBorders>
          <w:insideH w:val="single" w:sz="6" w:space="0" w:color="FF635D" w:themeColor="accent2"/>
          <w:insideV w:val="single" w:sz="6" w:space="0" w:color="FF635D" w:themeColor="accent2"/>
        </w:tcBorders>
        <w:shd w:val="clear" w:color="auto" w:fill="FFB0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F61C4" w:themeColor="accent3"/>
        <w:left w:val="single" w:sz="8" w:space="0" w:color="3F61C4" w:themeColor="accent3"/>
        <w:bottom w:val="single" w:sz="8" w:space="0" w:color="3F61C4" w:themeColor="accent3"/>
        <w:right w:val="single" w:sz="8" w:space="0" w:color="3F61C4" w:themeColor="accent3"/>
        <w:insideH w:val="single" w:sz="8" w:space="0" w:color="3F61C4" w:themeColor="accent3"/>
        <w:insideV w:val="single" w:sz="8" w:space="0" w:color="3F61C4" w:themeColor="accent3"/>
      </w:tblBorders>
    </w:tblPr>
    <w:tcPr>
      <w:shd w:val="clear" w:color="auto" w:fill="CFD7F0" w:themeFill="accent3" w:themeFillTint="3F"/>
    </w:tcPr>
    <w:tblStylePr w:type="firstRow">
      <w:rPr>
        <w:b/>
        <w:bCs/>
        <w:color w:val="000000" w:themeColor="text1"/>
      </w:rPr>
      <w:tblPr/>
      <w:tcPr>
        <w:shd w:val="clear" w:color="auto" w:fill="ECEF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FF3" w:themeFill="accent3" w:themeFillTint="33"/>
      </w:tcPr>
    </w:tblStylePr>
    <w:tblStylePr w:type="band1Vert">
      <w:tblPr/>
      <w:tcPr>
        <w:shd w:val="clear" w:color="auto" w:fill="9FAFE1" w:themeFill="accent3" w:themeFillTint="7F"/>
      </w:tcPr>
    </w:tblStylePr>
    <w:tblStylePr w:type="band1Horz">
      <w:tblPr/>
      <w:tcPr>
        <w:tcBorders>
          <w:insideH w:val="single" w:sz="6" w:space="0" w:color="3F61C4" w:themeColor="accent3"/>
          <w:insideV w:val="single" w:sz="6" w:space="0" w:color="3F61C4" w:themeColor="accent3"/>
        </w:tcBorders>
        <w:shd w:val="clear" w:color="auto" w:fill="9FAFE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1AC987" w:themeColor="accent4"/>
        <w:left w:val="single" w:sz="8" w:space="0" w:color="1AC987" w:themeColor="accent4"/>
        <w:bottom w:val="single" w:sz="8" w:space="0" w:color="1AC987" w:themeColor="accent4"/>
        <w:right w:val="single" w:sz="8" w:space="0" w:color="1AC987" w:themeColor="accent4"/>
        <w:insideH w:val="single" w:sz="8" w:space="0" w:color="1AC987" w:themeColor="accent4"/>
        <w:insideV w:val="single" w:sz="8" w:space="0" w:color="1AC987" w:themeColor="accent4"/>
      </w:tblBorders>
    </w:tblPr>
    <w:tcPr>
      <w:shd w:val="clear" w:color="auto" w:fill="C1F7E2" w:themeFill="accent4" w:themeFillTint="3F"/>
    </w:tcPr>
    <w:tblStylePr w:type="firstRow">
      <w:rPr>
        <w:b/>
        <w:bCs/>
        <w:color w:val="000000" w:themeColor="text1"/>
      </w:rPr>
      <w:tblPr/>
      <w:tcPr>
        <w:shd w:val="clear" w:color="auto" w:fill="E6FB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8E7" w:themeFill="accent4" w:themeFillTint="33"/>
      </w:tcPr>
    </w:tblStylePr>
    <w:tblStylePr w:type="band1Vert">
      <w:tblPr/>
      <w:tcPr>
        <w:shd w:val="clear" w:color="auto" w:fill="82EEC5" w:themeFill="accent4" w:themeFillTint="7F"/>
      </w:tcPr>
    </w:tblStylePr>
    <w:tblStylePr w:type="band1Horz">
      <w:tblPr/>
      <w:tcPr>
        <w:tcBorders>
          <w:insideH w:val="single" w:sz="6" w:space="0" w:color="1AC987" w:themeColor="accent4"/>
          <w:insideV w:val="single" w:sz="6" w:space="0" w:color="1AC987" w:themeColor="accent4"/>
        </w:tcBorders>
        <w:shd w:val="clear" w:color="auto" w:fill="82EEC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A91B6" w:themeColor="accent5"/>
        <w:left w:val="single" w:sz="8" w:space="0" w:color="FA91B6" w:themeColor="accent5"/>
        <w:bottom w:val="single" w:sz="8" w:space="0" w:color="FA91B6" w:themeColor="accent5"/>
        <w:right w:val="single" w:sz="8" w:space="0" w:color="FA91B6" w:themeColor="accent5"/>
        <w:insideH w:val="single" w:sz="8" w:space="0" w:color="FA91B6" w:themeColor="accent5"/>
        <w:insideV w:val="single" w:sz="8" w:space="0" w:color="FA91B6" w:themeColor="accent5"/>
      </w:tblBorders>
    </w:tblPr>
    <w:tcPr>
      <w:shd w:val="clear" w:color="auto" w:fill="FDE3EC" w:themeFill="accent5" w:themeFillTint="3F"/>
    </w:tcPr>
    <w:tblStylePr w:type="firstRow">
      <w:rPr>
        <w:b/>
        <w:bCs/>
        <w:color w:val="000000" w:themeColor="text1"/>
      </w:rPr>
      <w:tblPr/>
      <w:tcPr>
        <w:shd w:val="clear" w:color="auto" w:fill="FEF4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9F0" w:themeFill="accent5" w:themeFillTint="33"/>
      </w:tcPr>
    </w:tblStylePr>
    <w:tblStylePr w:type="band1Vert">
      <w:tblPr/>
      <w:tcPr>
        <w:shd w:val="clear" w:color="auto" w:fill="FCC8DA" w:themeFill="accent5" w:themeFillTint="7F"/>
      </w:tcPr>
    </w:tblStylePr>
    <w:tblStylePr w:type="band1Horz">
      <w:tblPr/>
      <w:tcPr>
        <w:tcBorders>
          <w:insideH w:val="single" w:sz="6" w:space="0" w:color="FA91B6" w:themeColor="accent5"/>
          <w:insideV w:val="single" w:sz="6" w:space="0" w:color="FA91B6" w:themeColor="accent5"/>
        </w:tcBorders>
        <w:shd w:val="clear" w:color="auto" w:fill="FCC8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A68C8" w:themeColor="accent6"/>
        <w:left w:val="single" w:sz="8" w:space="0" w:color="8A68C8" w:themeColor="accent6"/>
        <w:bottom w:val="single" w:sz="8" w:space="0" w:color="8A68C8" w:themeColor="accent6"/>
        <w:right w:val="single" w:sz="8" w:space="0" w:color="8A68C8" w:themeColor="accent6"/>
        <w:insideH w:val="single" w:sz="8" w:space="0" w:color="8A68C8" w:themeColor="accent6"/>
        <w:insideV w:val="single" w:sz="8" w:space="0" w:color="8A68C8" w:themeColor="accent6"/>
      </w:tblBorders>
    </w:tblPr>
    <w:tcPr>
      <w:shd w:val="clear" w:color="auto" w:fill="E1D9F1" w:themeFill="accent6" w:themeFillTint="3F"/>
    </w:tcPr>
    <w:tblStylePr w:type="firstRow">
      <w:rPr>
        <w:b/>
        <w:bCs/>
        <w:color w:val="000000" w:themeColor="text1"/>
      </w:rPr>
      <w:tblPr/>
      <w:tcPr>
        <w:shd w:val="clear" w:color="auto" w:fill="F3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0F4" w:themeFill="accent6" w:themeFillTint="33"/>
      </w:tcPr>
    </w:tblStylePr>
    <w:tblStylePr w:type="band1Vert">
      <w:tblPr/>
      <w:tcPr>
        <w:shd w:val="clear" w:color="auto" w:fill="C4B3E3" w:themeFill="accent6" w:themeFillTint="7F"/>
      </w:tcPr>
    </w:tblStylePr>
    <w:tblStylePr w:type="band1Horz">
      <w:tblPr/>
      <w:tcPr>
        <w:tcBorders>
          <w:insideH w:val="single" w:sz="6" w:space="0" w:color="8A68C8" w:themeColor="accent6"/>
          <w:insideV w:val="single" w:sz="6" w:space="0" w:color="8A68C8" w:themeColor="accent6"/>
        </w:tcBorders>
        <w:shd w:val="clear" w:color="auto" w:fill="C4B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80"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D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35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35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35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35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0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0AE"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61C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61C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61C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61C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AFE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AFE1"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F7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C9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C9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C9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C9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EE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EEC5"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3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91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91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91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91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8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8DA"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9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6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6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6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6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3E3"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3737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FFDC00" w:themeColor="accent1"/>
        <w:bottom w:val="single" w:sz="8" w:space="0" w:color="FFDC00" w:themeColor="accent1"/>
      </w:tblBorders>
    </w:tblPr>
    <w:tblStylePr w:type="firstRow">
      <w:rPr>
        <w:rFonts w:asciiTheme="majorHAnsi" w:eastAsiaTheme="majorEastAsia" w:hAnsiTheme="majorHAnsi" w:cstheme="majorBidi"/>
      </w:rPr>
      <w:tblPr/>
      <w:tcPr>
        <w:tcBorders>
          <w:top w:val="nil"/>
          <w:bottom w:val="single" w:sz="8" w:space="0" w:color="FFDC00" w:themeColor="accent1"/>
        </w:tcBorders>
      </w:tcPr>
    </w:tblStylePr>
    <w:tblStylePr w:type="lastRow">
      <w:rPr>
        <w:b/>
        <w:bCs/>
        <w:color w:val="737373" w:themeColor="text2"/>
      </w:rPr>
      <w:tblPr/>
      <w:tcPr>
        <w:tcBorders>
          <w:top w:val="single" w:sz="8" w:space="0" w:color="FFDC00" w:themeColor="accent1"/>
          <w:bottom w:val="single" w:sz="8" w:space="0" w:color="FFDC00" w:themeColor="accent1"/>
        </w:tcBorders>
      </w:tcPr>
    </w:tblStylePr>
    <w:tblStylePr w:type="firstCol">
      <w:rPr>
        <w:b/>
        <w:bCs/>
      </w:rPr>
    </w:tblStylePr>
    <w:tblStylePr w:type="lastCol">
      <w:rPr>
        <w:b/>
        <w:bCs/>
      </w:rPr>
      <w:tblPr/>
      <w:tcPr>
        <w:tcBorders>
          <w:top w:val="single" w:sz="8" w:space="0" w:color="FFDC00" w:themeColor="accent1"/>
          <w:bottom w:val="single" w:sz="8" w:space="0" w:color="FFDC00" w:themeColor="accent1"/>
        </w:tcBorders>
      </w:tcPr>
    </w:tblStylePr>
    <w:tblStylePr w:type="band1Vert">
      <w:tblPr/>
      <w:tcPr>
        <w:shd w:val="clear" w:color="auto" w:fill="FFF6C0" w:themeFill="accent1" w:themeFillTint="3F"/>
      </w:tcPr>
    </w:tblStylePr>
    <w:tblStylePr w:type="band1Horz">
      <w:tblPr/>
      <w:tcPr>
        <w:shd w:val="clear" w:color="auto" w:fill="FFF6C0"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FF635D" w:themeColor="accent2"/>
        <w:bottom w:val="single" w:sz="8" w:space="0" w:color="FF635D" w:themeColor="accent2"/>
      </w:tblBorders>
    </w:tblPr>
    <w:tblStylePr w:type="firstRow">
      <w:rPr>
        <w:rFonts w:asciiTheme="majorHAnsi" w:eastAsiaTheme="majorEastAsia" w:hAnsiTheme="majorHAnsi" w:cstheme="majorBidi"/>
      </w:rPr>
      <w:tblPr/>
      <w:tcPr>
        <w:tcBorders>
          <w:top w:val="nil"/>
          <w:bottom w:val="single" w:sz="8" w:space="0" w:color="FF635D" w:themeColor="accent2"/>
        </w:tcBorders>
      </w:tcPr>
    </w:tblStylePr>
    <w:tblStylePr w:type="lastRow">
      <w:rPr>
        <w:b/>
        <w:bCs/>
        <w:color w:val="737373" w:themeColor="text2"/>
      </w:rPr>
      <w:tblPr/>
      <w:tcPr>
        <w:tcBorders>
          <w:top w:val="single" w:sz="8" w:space="0" w:color="FF635D" w:themeColor="accent2"/>
          <w:bottom w:val="single" w:sz="8" w:space="0" w:color="FF635D" w:themeColor="accent2"/>
        </w:tcBorders>
      </w:tcPr>
    </w:tblStylePr>
    <w:tblStylePr w:type="firstCol">
      <w:rPr>
        <w:b/>
        <w:bCs/>
      </w:rPr>
    </w:tblStylePr>
    <w:tblStylePr w:type="lastCol">
      <w:rPr>
        <w:b/>
        <w:bCs/>
      </w:rPr>
      <w:tblPr/>
      <w:tcPr>
        <w:tcBorders>
          <w:top w:val="single" w:sz="8" w:space="0" w:color="FF635D" w:themeColor="accent2"/>
          <w:bottom w:val="single" w:sz="8" w:space="0" w:color="FF635D" w:themeColor="accent2"/>
        </w:tcBorders>
      </w:tcPr>
    </w:tblStylePr>
    <w:tblStylePr w:type="band1Vert">
      <w:tblPr/>
      <w:tcPr>
        <w:shd w:val="clear" w:color="auto" w:fill="FFD8D6" w:themeFill="accent2" w:themeFillTint="3F"/>
      </w:tcPr>
    </w:tblStylePr>
    <w:tblStylePr w:type="band1Horz">
      <w:tblPr/>
      <w:tcPr>
        <w:shd w:val="clear" w:color="auto" w:fill="FFD8D6"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3F61C4" w:themeColor="accent3"/>
        <w:bottom w:val="single" w:sz="8" w:space="0" w:color="3F61C4" w:themeColor="accent3"/>
      </w:tblBorders>
    </w:tblPr>
    <w:tblStylePr w:type="firstRow">
      <w:rPr>
        <w:rFonts w:asciiTheme="majorHAnsi" w:eastAsiaTheme="majorEastAsia" w:hAnsiTheme="majorHAnsi" w:cstheme="majorBidi"/>
      </w:rPr>
      <w:tblPr/>
      <w:tcPr>
        <w:tcBorders>
          <w:top w:val="nil"/>
          <w:bottom w:val="single" w:sz="8" w:space="0" w:color="3F61C4" w:themeColor="accent3"/>
        </w:tcBorders>
      </w:tcPr>
    </w:tblStylePr>
    <w:tblStylePr w:type="lastRow">
      <w:rPr>
        <w:b/>
        <w:bCs/>
        <w:color w:val="737373" w:themeColor="text2"/>
      </w:rPr>
      <w:tblPr/>
      <w:tcPr>
        <w:tcBorders>
          <w:top w:val="single" w:sz="8" w:space="0" w:color="3F61C4" w:themeColor="accent3"/>
          <w:bottom w:val="single" w:sz="8" w:space="0" w:color="3F61C4" w:themeColor="accent3"/>
        </w:tcBorders>
      </w:tcPr>
    </w:tblStylePr>
    <w:tblStylePr w:type="firstCol">
      <w:rPr>
        <w:b/>
        <w:bCs/>
      </w:rPr>
    </w:tblStylePr>
    <w:tblStylePr w:type="lastCol">
      <w:rPr>
        <w:b/>
        <w:bCs/>
      </w:rPr>
      <w:tblPr/>
      <w:tcPr>
        <w:tcBorders>
          <w:top w:val="single" w:sz="8" w:space="0" w:color="3F61C4" w:themeColor="accent3"/>
          <w:bottom w:val="single" w:sz="8" w:space="0" w:color="3F61C4" w:themeColor="accent3"/>
        </w:tcBorders>
      </w:tcPr>
    </w:tblStylePr>
    <w:tblStylePr w:type="band1Vert">
      <w:tblPr/>
      <w:tcPr>
        <w:shd w:val="clear" w:color="auto" w:fill="CFD7F0" w:themeFill="accent3" w:themeFillTint="3F"/>
      </w:tcPr>
    </w:tblStylePr>
    <w:tblStylePr w:type="band1Horz">
      <w:tblPr/>
      <w:tcPr>
        <w:shd w:val="clear" w:color="auto" w:fill="CFD7F0"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1AC987" w:themeColor="accent4"/>
        <w:bottom w:val="single" w:sz="8" w:space="0" w:color="1AC987" w:themeColor="accent4"/>
      </w:tblBorders>
    </w:tblPr>
    <w:tblStylePr w:type="firstRow">
      <w:rPr>
        <w:rFonts w:asciiTheme="majorHAnsi" w:eastAsiaTheme="majorEastAsia" w:hAnsiTheme="majorHAnsi" w:cstheme="majorBidi"/>
      </w:rPr>
      <w:tblPr/>
      <w:tcPr>
        <w:tcBorders>
          <w:top w:val="nil"/>
          <w:bottom w:val="single" w:sz="8" w:space="0" w:color="1AC987" w:themeColor="accent4"/>
        </w:tcBorders>
      </w:tcPr>
    </w:tblStylePr>
    <w:tblStylePr w:type="lastRow">
      <w:rPr>
        <w:b/>
        <w:bCs/>
        <w:color w:val="737373" w:themeColor="text2"/>
      </w:rPr>
      <w:tblPr/>
      <w:tcPr>
        <w:tcBorders>
          <w:top w:val="single" w:sz="8" w:space="0" w:color="1AC987" w:themeColor="accent4"/>
          <w:bottom w:val="single" w:sz="8" w:space="0" w:color="1AC987" w:themeColor="accent4"/>
        </w:tcBorders>
      </w:tcPr>
    </w:tblStylePr>
    <w:tblStylePr w:type="firstCol">
      <w:rPr>
        <w:b/>
        <w:bCs/>
      </w:rPr>
    </w:tblStylePr>
    <w:tblStylePr w:type="lastCol">
      <w:rPr>
        <w:b/>
        <w:bCs/>
      </w:rPr>
      <w:tblPr/>
      <w:tcPr>
        <w:tcBorders>
          <w:top w:val="single" w:sz="8" w:space="0" w:color="1AC987" w:themeColor="accent4"/>
          <w:bottom w:val="single" w:sz="8" w:space="0" w:color="1AC987" w:themeColor="accent4"/>
        </w:tcBorders>
      </w:tcPr>
    </w:tblStylePr>
    <w:tblStylePr w:type="band1Vert">
      <w:tblPr/>
      <w:tcPr>
        <w:shd w:val="clear" w:color="auto" w:fill="C1F7E2" w:themeFill="accent4" w:themeFillTint="3F"/>
      </w:tcPr>
    </w:tblStylePr>
    <w:tblStylePr w:type="band1Horz">
      <w:tblPr/>
      <w:tcPr>
        <w:shd w:val="clear" w:color="auto" w:fill="C1F7E2"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FA91B6" w:themeColor="accent5"/>
        <w:bottom w:val="single" w:sz="8" w:space="0" w:color="FA91B6" w:themeColor="accent5"/>
      </w:tblBorders>
    </w:tblPr>
    <w:tblStylePr w:type="firstRow">
      <w:rPr>
        <w:rFonts w:asciiTheme="majorHAnsi" w:eastAsiaTheme="majorEastAsia" w:hAnsiTheme="majorHAnsi" w:cstheme="majorBidi"/>
      </w:rPr>
      <w:tblPr/>
      <w:tcPr>
        <w:tcBorders>
          <w:top w:val="nil"/>
          <w:bottom w:val="single" w:sz="8" w:space="0" w:color="FA91B6" w:themeColor="accent5"/>
        </w:tcBorders>
      </w:tcPr>
    </w:tblStylePr>
    <w:tblStylePr w:type="lastRow">
      <w:rPr>
        <w:b/>
        <w:bCs/>
        <w:color w:val="737373" w:themeColor="text2"/>
      </w:rPr>
      <w:tblPr/>
      <w:tcPr>
        <w:tcBorders>
          <w:top w:val="single" w:sz="8" w:space="0" w:color="FA91B6" w:themeColor="accent5"/>
          <w:bottom w:val="single" w:sz="8" w:space="0" w:color="FA91B6" w:themeColor="accent5"/>
        </w:tcBorders>
      </w:tcPr>
    </w:tblStylePr>
    <w:tblStylePr w:type="firstCol">
      <w:rPr>
        <w:b/>
        <w:bCs/>
      </w:rPr>
    </w:tblStylePr>
    <w:tblStylePr w:type="lastCol">
      <w:rPr>
        <w:b/>
        <w:bCs/>
      </w:rPr>
      <w:tblPr/>
      <w:tcPr>
        <w:tcBorders>
          <w:top w:val="single" w:sz="8" w:space="0" w:color="FA91B6" w:themeColor="accent5"/>
          <w:bottom w:val="single" w:sz="8" w:space="0" w:color="FA91B6" w:themeColor="accent5"/>
        </w:tcBorders>
      </w:tcPr>
    </w:tblStylePr>
    <w:tblStylePr w:type="band1Vert">
      <w:tblPr/>
      <w:tcPr>
        <w:shd w:val="clear" w:color="auto" w:fill="FDE3EC" w:themeFill="accent5" w:themeFillTint="3F"/>
      </w:tcPr>
    </w:tblStylePr>
    <w:tblStylePr w:type="band1Horz">
      <w:tblPr/>
      <w:tcPr>
        <w:shd w:val="clear" w:color="auto" w:fill="FDE3EC"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8A68C8" w:themeColor="accent6"/>
        <w:bottom w:val="single" w:sz="8" w:space="0" w:color="8A68C8" w:themeColor="accent6"/>
      </w:tblBorders>
    </w:tblPr>
    <w:tblStylePr w:type="firstRow">
      <w:rPr>
        <w:rFonts w:asciiTheme="majorHAnsi" w:eastAsiaTheme="majorEastAsia" w:hAnsiTheme="majorHAnsi" w:cstheme="majorBidi"/>
      </w:rPr>
      <w:tblPr/>
      <w:tcPr>
        <w:tcBorders>
          <w:top w:val="nil"/>
          <w:bottom w:val="single" w:sz="8" w:space="0" w:color="8A68C8" w:themeColor="accent6"/>
        </w:tcBorders>
      </w:tcPr>
    </w:tblStylePr>
    <w:tblStylePr w:type="lastRow">
      <w:rPr>
        <w:b/>
        <w:bCs/>
        <w:color w:val="737373" w:themeColor="text2"/>
      </w:rPr>
      <w:tblPr/>
      <w:tcPr>
        <w:tcBorders>
          <w:top w:val="single" w:sz="8" w:space="0" w:color="8A68C8" w:themeColor="accent6"/>
          <w:bottom w:val="single" w:sz="8" w:space="0" w:color="8A68C8" w:themeColor="accent6"/>
        </w:tcBorders>
      </w:tcPr>
    </w:tblStylePr>
    <w:tblStylePr w:type="firstCol">
      <w:rPr>
        <w:b/>
        <w:bCs/>
      </w:rPr>
    </w:tblStylePr>
    <w:tblStylePr w:type="lastCol">
      <w:rPr>
        <w:b/>
        <w:bCs/>
      </w:rPr>
      <w:tblPr/>
      <w:tcPr>
        <w:tcBorders>
          <w:top w:val="single" w:sz="8" w:space="0" w:color="8A68C8" w:themeColor="accent6"/>
          <w:bottom w:val="single" w:sz="8" w:space="0" w:color="8A68C8" w:themeColor="accent6"/>
        </w:tcBorders>
      </w:tcPr>
    </w:tblStylePr>
    <w:tblStylePr w:type="band1Vert">
      <w:tblPr/>
      <w:tcPr>
        <w:shd w:val="clear" w:color="auto" w:fill="E1D9F1" w:themeFill="accent6" w:themeFillTint="3F"/>
      </w:tcPr>
    </w:tblStylePr>
    <w:tblStylePr w:type="band1Horz">
      <w:tblPr/>
      <w:tcPr>
        <w:shd w:val="clear" w:color="auto" w:fill="E1D9F1"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DC00" w:themeColor="accent1"/>
        <w:left w:val="single" w:sz="8" w:space="0" w:color="FFDC00" w:themeColor="accent1"/>
        <w:bottom w:val="single" w:sz="8" w:space="0" w:color="FFDC00" w:themeColor="accent1"/>
        <w:right w:val="single" w:sz="8" w:space="0" w:color="FFDC00" w:themeColor="accent1"/>
      </w:tblBorders>
    </w:tblPr>
    <w:tblStylePr w:type="firstRow">
      <w:rPr>
        <w:sz w:val="24"/>
        <w:szCs w:val="24"/>
      </w:rPr>
      <w:tblPr/>
      <w:tcPr>
        <w:tcBorders>
          <w:top w:val="nil"/>
          <w:left w:val="nil"/>
          <w:bottom w:val="single" w:sz="24" w:space="0" w:color="FFDC00" w:themeColor="accent1"/>
          <w:right w:val="nil"/>
          <w:insideH w:val="nil"/>
          <w:insideV w:val="nil"/>
        </w:tcBorders>
        <w:shd w:val="clear" w:color="auto" w:fill="FFFFFF" w:themeFill="background1"/>
      </w:tcPr>
    </w:tblStylePr>
    <w:tblStylePr w:type="lastRow">
      <w:tblPr/>
      <w:tcPr>
        <w:tcBorders>
          <w:top w:val="single" w:sz="8" w:space="0" w:color="FFD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C00" w:themeColor="accent1"/>
          <w:insideH w:val="nil"/>
          <w:insideV w:val="nil"/>
        </w:tcBorders>
        <w:shd w:val="clear" w:color="auto" w:fill="FFFFFF" w:themeFill="background1"/>
      </w:tcPr>
    </w:tblStylePr>
    <w:tblStylePr w:type="lastCol">
      <w:tblPr/>
      <w:tcPr>
        <w:tcBorders>
          <w:top w:val="nil"/>
          <w:left w:val="single" w:sz="8" w:space="0" w:color="FFD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C0" w:themeFill="accent1" w:themeFillTint="3F"/>
      </w:tcPr>
    </w:tblStylePr>
    <w:tblStylePr w:type="band1Horz">
      <w:tblPr/>
      <w:tcPr>
        <w:tcBorders>
          <w:top w:val="nil"/>
          <w:bottom w:val="nil"/>
          <w:insideH w:val="nil"/>
          <w:insideV w:val="nil"/>
        </w:tcBorders>
        <w:shd w:val="clear" w:color="auto" w:fill="FFF6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635D" w:themeColor="accent2"/>
        <w:left w:val="single" w:sz="8" w:space="0" w:color="FF635D" w:themeColor="accent2"/>
        <w:bottom w:val="single" w:sz="8" w:space="0" w:color="FF635D" w:themeColor="accent2"/>
        <w:right w:val="single" w:sz="8" w:space="0" w:color="FF635D" w:themeColor="accent2"/>
      </w:tblBorders>
    </w:tblPr>
    <w:tblStylePr w:type="firstRow">
      <w:rPr>
        <w:sz w:val="24"/>
        <w:szCs w:val="24"/>
      </w:rPr>
      <w:tblPr/>
      <w:tcPr>
        <w:tcBorders>
          <w:top w:val="nil"/>
          <w:left w:val="nil"/>
          <w:bottom w:val="single" w:sz="24" w:space="0" w:color="FF635D" w:themeColor="accent2"/>
          <w:right w:val="nil"/>
          <w:insideH w:val="nil"/>
          <w:insideV w:val="nil"/>
        </w:tcBorders>
        <w:shd w:val="clear" w:color="auto" w:fill="FFFFFF" w:themeFill="background1"/>
      </w:tcPr>
    </w:tblStylePr>
    <w:tblStylePr w:type="lastRow">
      <w:tblPr/>
      <w:tcPr>
        <w:tcBorders>
          <w:top w:val="single" w:sz="8" w:space="0" w:color="FF635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35D" w:themeColor="accent2"/>
          <w:insideH w:val="nil"/>
          <w:insideV w:val="nil"/>
        </w:tcBorders>
        <w:shd w:val="clear" w:color="auto" w:fill="FFFFFF" w:themeFill="background1"/>
      </w:tcPr>
    </w:tblStylePr>
    <w:tblStylePr w:type="lastCol">
      <w:tblPr/>
      <w:tcPr>
        <w:tcBorders>
          <w:top w:val="nil"/>
          <w:left w:val="single" w:sz="8" w:space="0" w:color="FF635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D6" w:themeFill="accent2" w:themeFillTint="3F"/>
      </w:tcPr>
    </w:tblStylePr>
    <w:tblStylePr w:type="band1Horz">
      <w:tblPr/>
      <w:tcPr>
        <w:tcBorders>
          <w:top w:val="nil"/>
          <w:bottom w:val="nil"/>
          <w:insideH w:val="nil"/>
          <w:insideV w:val="nil"/>
        </w:tcBorders>
        <w:shd w:val="clear" w:color="auto" w:fill="FFD8D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F61C4" w:themeColor="accent3"/>
        <w:left w:val="single" w:sz="8" w:space="0" w:color="3F61C4" w:themeColor="accent3"/>
        <w:bottom w:val="single" w:sz="8" w:space="0" w:color="3F61C4" w:themeColor="accent3"/>
        <w:right w:val="single" w:sz="8" w:space="0" w:color="3F61C4" w:themeColor="accent3"/>
      </w:tblBorders>
    </w:tblPr>
    <w:tblStylePr w:type="firstRow">
      <w:rPr>
        <w:sz w:val="24"/>
        <w:szCs w:val="24"/>
      </w:rPr>
      <w:tblPr/>
      <w:tcPr>
        <w:tcBorders>
          <w:top w:val="nil"/>
          <w:left w:val="nil"/>
          <w:bottom w:val="single" w:sz="24" w:space="0" w:color="3F61C4" w:themeColor="accent3"/>
          <w:right w:val="nil"/>
          <w:insideH w:val="nil"/>
          <w:insideV w:val="nil"/>
        </w:tcBorders>
        <w:shd w:val="clear" w:color="auto" w:fill="FFFFFF" w:themeFill="background1"/>
      </w:tcPr>
    </w:tblStylePr>
    <w:tblStylePr w:type="lastRow">
      <w:tblPr/>
      <w:tcPr>
        <w:tcBorders>
          <w:top w:val="single" w:sz="8" w:space="0" w:color="3F61C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61C4" w:themeColor="accent3"/>
          <w:insideH w:val="nil"/>
          <w:insideV w:val="nil"/>
        </w:tcBorders>
        <w:shd w:val="clear" w:color="auto" w:fill="FFFFFF" w:themeFill="background1"/>
      </w:tcPr>
    </w:tblStylePr>
    <w:tblStylePr w:type="lastCol">
      <w:tblPr/>
      <w:tcPr>
        <w:tcBorders>
          <w:top w:val="nil"/>
          <w:left w:val="single" w:sz="8" w:space="0" w:color="3F61C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7F0" w:themeFill="accent3" w:themeFillTint="3F"/>
      </w:tcPr>
    </w:tblStylePr>
    <w:tblStylePr w:type="band1Horz">
      <w:tblPr/>
      <w:tcPr>
        <w:tcBorders>
          <w:top w:val="nil"/>
          <w:bottom w:val="nil"/>
          <w:insideH w:val="nil"/>
          <w:insideV w:val="nil"/>
        </w:tcBorders>
        <w:shd w:val="clear" w:color="auto" w:fill="CFD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1AC987" w:themeColor="accent4"/>
        <w:left w:val="single" w:sz="8" w:space="0" w:color="1AC987" w:themeColor="accent4"/>
        <w:bottom w:val="single" w:sz="8" w:space="0" w:color="1AC987" w:themeColor="accent4"/>
        <w:right w:val="single" w:sz="8" w:space="0" w:color="1AC987" w:themeColor="accent4"/>
      </w:tblBorders>
    </w:tblPr>
    <w:tblStylePr w:type="firstRow">
      <w:rPr>
        <w:sz w:val="24"/>
        <w:szCs w:val="24"/>
      </w:rPr>
      <w:tblPr/>
      <w:tcPr>
        <w:tcBorders>
          <w:top w:val="nil"/>
          <w:left w:val="nil"/>
          <w:bottom w:val="single" w:sz="24" w:space="0" w:color="1AC987" w:themeColor="accent4"/>
          <w:right w:val="nil"/>
          <w:insideH w:val="nil"/>
          <w:insideV w:val="nil"/>
        </w:tcBorders>
        <w:shd w:val="clear" w:color="auto" w:fill="FFFFFF" w:themeFill="background1"/>
      </w:tcPr>
    </w:tblStylePr>
    <w:tblStylePr w:type="lastRow">
      <w:tblPr/>
      <w:tcPr>
        <w:tcBorders>
          <w:top w:val="single" w:sz="8" w:space="0" w:color="1AC9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C987" w:themeColor="accent4"/>
          <w:insideH w:val="nil"/>
          <w:insideV w:val="nil"/>
        </w:tcBorders>
        <w:shd w:val="clear" w:color="auto" w:fill="FFFFFF" w:themeFill="background1"/>
      </w:tcPr>
    </w:tblStylePr>
    <w:tblStylePr w:type="lastCol">
      <w:tblPr/>
      <w:tcPr>
        <w:tcBorders>
          <w:top w:val="nil"/>
          <w:left w:val="single" w:sz="8" w:space="0" w:color="1AC9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F7E2" w:themeFill="accent4" w:themeFillTint="3F"/>
      </w:tcPr>
    </w:tblStylePr>
    <w:tblStylePr w:type="band1Horz">
      <w:tblPr/>
      <w:tcPr>
        <w:tcBorders>
          <w:top w:val="nil"/>
          <w:bottom w:val="nil"/>
          <w:insideH w:val="nil"/>
          <w:insideV w:val="nil"/>
        </w:tcBorders>
        <w:shd w:val="clear" w:color="auto" w:fill="C1F7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A91B6" w:themeColor="accent5"/>
        <w:left w:val="single" w:sz="8" w:space="0" w:color="FA91B6" w:themeColor="accent5"/>
        <w:bottom w:val="single" w:sz="8" w:space="0" w:color="FA91B6" w:themeColor="accent5"/>
        <w:right w:val="single" w:sz="8" w:space="0" w:color="FA91B6" w:themeColor="accent5"/>
      </w:tblBorders>
    </w:tblPr>
    <w:tblStylePr w:type="firstRow">
      <w:rPr>
        <w:sz w:val="24"/>
        <w:szCs w:val="24"/>
      </w:rPr>
      <w:tblPr/>
      <w:tcPr>
        <w:tcBorders>
          <w:top w:val="nil"/>
          <w:left w:val="nil"/>
          <w:bottom w:val="single" w:sz="24" w:space="0" w:color="FA91B6" w:themeColor="accent5"/>
          <w:right w:val="nil"/>
          <w:insideH w:val="nil"/>
          <w:insideV w:val="nil"/>
        </w:tcBorders>
        <w:shd w:val="clear" w:color="auto" w:fill="FFFFFF" w:themeFill="background1"/>
      </w:tcPr>
    </w:tblStylePr>
    <w:tblStylePr w:type="lastRow">
      <w:tblPr/>
      <w:tcPr>
        <w:tcBorders>
          <w:top w:val="single" w:sz="8" w:space="0" w:color="FA91B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91B6" w:themeColor="accent5"/>
          <w:insideH w:val="nil"/>
          <w:insideV w:val="nil"/>
        </w:tcBorders>
        <w:shd w:val="clear" w:color="auto" w:fill="FFFFFF" w:themeFill="background1"/>
      </w:tcPr>
    </w:tblStylePr>
    <w:tblStylePr w:type="lastCol">
      <w:tblPr/>
      <w:tcPr>
        <w:tcBorders>
          <w:top w:val="nil"/>
          <w:left w:val="single" w:sz="8" w:space="0" w:color="FA91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3EC" w:themeFill="accent5" w:themeFillTint="3F"/>
      </w:tcPr>
    </w:tblStylePr>
    <w:tblStylePr w:type="band1Horz">
      <w:tblPr/>
      <w:tcPr>
        <w:tcBorders>
          <w:top w:val="nil"/>
          <w:bottom w:val="nil"/>
          <w:insideH w:val="nil"/>
          <w:insideV w:val="nil"/>
        </w:tcBorders>
        <w:shd w:val="clear" w:color="auto" w:fill="FDE3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8A68C8" w:themeColor="accent6"/>
        <w:left w:val="single" w:sz="8" w:space="0" w:color="8A68C8" w:themeColor="accent6"/>
        <w:bottom w:val="single" w:sz="8" w:space="0" w:color="8A68C8" w:themeColor="accent6"/>
        <w:right w:val="single" w:sz="8" w:space="0" w:color="8A68C8" w:themeColor="accent6"/>
      </w:tblBorders>
    </w:tblPr>
    <w:tblStylePr w:type="firstRow">
      <w:rPr>
        <w:sz w:val="24"/>
        <w:szCs w:val="24"/>
      </w:rPr>
      <w:tblPr/>
      <w:tcPr>
        <w:tcBorders>
          <w:top w:val="nil"/>
          <w:left w:val="nil"/>
          <w:bottom w:val="single" w:sz="24" w:space="0" w:color="8A68C8" w:themeColor="accent6"/>
          <w:right w:val="nil"/>
          <w:insideH w:val="nil"/>
          <w:insideV w:val="nil"/>
        </w:tcBorders>
        <w:shd w:val="clear" w:color="auto" w:fill="FFFFFF" w:themeFill="background1"/>
      </w:tcPr>
    </w:tblStylePr>
    <w:tblStylePr w:type="lastRow">
      <w:tblPr/>
      <w:tcPr>
        <w:tcBorders>
          <w:top w:val="single" w:sz="8" w:space="0" w:color="8A68C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68C8" w:themeColor="accent6"/>
          <w:insideH w:val="nil"/>
          <w:insideV w:val="nil"/>
        </w:tcBorders>
        <w:shd w:val="clear" w:color="auto" w:fill="FFFFFF" w:themeFill="background1"/>
      </w:tcPr>
    </w:tblStylePr>
    <w:tblStylePr w:type="lastCol">
      <w:tblPr/>
      <w:tcPr>
        <w:tcBorders>
          <w:top w:val="nil"/>
          <w:left w:val="single" w:sz="8" w:space="0" w:color="8A6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9F1" w:themeFill="accent6" w:themeFillTint="3F"/>
      </w:tcPr>
    </w:tblStylePr>
    <w:tblStylePr w:type="band1Horz">
      <w:tblPr/>
      <w:tcPr>
        <w:tcBorders>
          <w:top w:val="nil"/>
          <w:bottom w:val="nil"/>
          <w:insideH w:val="nil"/>
          <w:insideV w:val="nil"/>
        </w:tcBorders>
        <w:shd w:val="clear" w:color="auto" w:fill="E1D9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FE440" w:themeColor="accent1" w:themeTint="BF"/>
        <w:left w:val="single" w:sz="8" w:space="0" w:color="FFE440" w:themeColor="accent1" w:themeTint="BF"/>
        <w:bottom w:val="single" w:sz="8" w:space="0" w:color="FFE440" w:themeColor="accent1" w:themeTint="BF"/>
        <w:right w:val="single" w:sz="8" w:space="0" w:color="FFE440" w:themeColor="accent1" w:themeTint="BF"/>
        <w:insideH w:val="single" w:sz="8" w:space="0" w:color="FFE440" w:themeColor="accent1" w:themeTint="BF"/>
      </w:tblBorders>
    </w:tblPr>
    <w:tblStylePr w:type="firstRow">
      <w:pPr>
        <w:spacing w:before="0" w:after="0" w:line="240" w:lineRule="auto"/>
      </w:pPr>
      <w:rPr>
        <w:b/>
        <w:bCs/>
        <w:color w:val="FFFFFF" w:themeColor="background1"/>
      </w:rPr>
      <w:tblPr/>
      <w:tcPr>
        <w:tcBorders>
          <w:top w:val="single" w:sz="8" w:space="0" w:color="FFE440" w:themeColor="accent1" w:themeTint="BF"/>
          <w:left w:val="single" w:sz="8" w:space="0" w:color="FFE440" w:themeColor="accent1" w:themeTint="BF"/>
          <w:bottom w:val="single" w:sz="8" w:space="0" w:color="FFE440" w:themeColor="accent1" w:themeTint="BF"/>
          <w:right w:val="single" w:sz="8" w:space="0" w:color="FFE440" w:themeColor="accent1" w:themeTint="BF"/>
          <w:insideH w:val="nil"/>
          <w:insideV w:val="nil"/>
        </w:tcBorders>
        <w:shd w:val="clear" w:color="auto" w:fill="FFDC00" w:themeFill="accent1"/>
      </w:tcPr>
    </w:tblStylePr>
    <w:tblStylePr w:type="lastRow">
      <w:pPr>
        <w:spacing w:before="0" w:after="0" w:line="240" w:lineRule="auto"/>
      </w:pPr>
      <w:rPr>
        <w:b/>
        <w:bCs/>
      </w:rPr>
      <w:tblPr/>
      <w:tcPr>
        <w:tcBorders>
          <w:top w:val="double" w:sz="6" w:space="0" w:color="FFE440" w:themeColor="accent1" w:themeTint="BF"/>
          <w:left w:val="single" w:sz="8" w:space="0" w:color="FFE440" w:themeColor="accent1" w:themeTint="BF"/>
          <w:bottom w:val="single" w:sz="8" w:space="0" w:color="FFE440" w:themeColor="accent1" w:themeTint="BF"/>
          <w:right w:val="single" w:sz="8" w:space="0" w:color="FFE4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1" w:themeFillTint="3F"/>
      </w:tcPr>
    </w:tblStylePr>
    <w:tblStylePr w:type="band1Horz">
      <w:tblPr/>
      <w:tcPr>
        <w:tcBorders>
          <w:insideH w:val="nil"/>
          <w:insideV w:val="nil"/>
        </w:tcBorders>
        <w:shd w:val="clear" w:color="auto" w:fill="FFF6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FF8985" w:themeColor="accent2" w:themeTint="BF"/>
        <w:left w:val="single" w:sz="8" w:space="0" w:color="FF8985" w:themeColor="accent2" w:themeTint="BF"/>
        <w:bottom w:val="single" w:sz="8" w:space="0" w:color="FF8985" w:themeColor="accent2" w:themeTint="BF"/>
        <w:right w:val="single" w:sz="8" w:space="0" w:color="FF8985" w:themeColor="accent2" w:themeTint="BF"/>
        <w:insideH w:val="single" w:sz="8" w:space="0" w:color="FF8985" w:themeColor="accent2" w:themeTint="BF"/>
      </w:tblBorders>
    </w:tblPr>
    <w:tblStylePr w:type="firstRow">
      <w:pPr>
        <w:spacing w:before="0" w:after="0" w:line="240" w:lineRule="auto"/>
      </w:pPr>
      <w:rPr>
        <w:b/>
        <w:bCs/>
        <w:color w:val="FFFFFF" w:themeColor="background1"/>
      </w:rPr>
      <w:tblPr/>
      <w:tcPr>
        <w:tcBorders>
          <w:top w:val="single" w:sz="8" w:space="0" w:color="FF8985" w:themeColor="accent2" w:themeTint="BF"/>
          <w:left w:val="single" w:sz="8" w:space="0" w:color="FF8985" w:themeColor="accent2" w:themeTint="BF"/>
          <w:bottom w:val="single" w:sz="8" w:space="0" w:color="FF8985" w:themeColor="accent2" w:themeTint="BF"/>
          <w:right w:val="single" w:sz="8" w:space="0" w:color="FF8985" w:themeColor="accent2" w:themeTint="BF"/>
          <w:insideH w:val="nil"/>
          <w:insideV w:val="nil"/>
        </w:tcBorders>
        <w:shd w:val="clear" w:color="auto" w:fill="FF635D" w:themeFill="accent2"/>
      </w:tcPr>
    </w:tblStylePr>
    <w:tblStylePr w:type="lastRow">
      <w:pPr>
        <w:spacing w:before="0" w:after="0" w:line="240" w:lineRule="auto"/>
      </w:pPr>
      <w:rPr>
        <w:b/>
        <w:bCs/>
      </w:rPr>
      <w:tblPr/>
      <w:tcPr>
        <w:tcBorders>
          <w:top w:val="double" w:sz="6" w:space="0" w:color="FF8985" w:themeColor="accent2" w:themeTint="BF"/>
          <w:left w:val="single" w:sz="8" w:space="0" w:color="FF8985" w:themeColor="accent2" w:themeTint="BF"/>
          <w:bottom w:val="single" w:sz="8" w:space="0" w:color="FF8985" w:themeColor="accent2" w:themeTint="BF"/>
          <w:right w:val="single" w:sz="8" w:space="0" w:color="FF89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8D6" w:themeFill="accent2" w:themeFillTint="3F"/>
      </w:tcPr>
    </w:tblStylePr>
    <w:tblStylePr w:type="band1Horz">
      <w:tblPr/>
      <w:tcPr>
        <w:tcBorders>
          <w:insideH w:val="nil"/>
          <w:insideV w:val="nil"/>
        </w:tcBorders>
        <w:shd w:val="clear" w:color="auto" w:fill="FFD8D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6E88D2" w:themeColor="accent3" w:themeTint="BF"/>
        <w:left w:val="single" w:sz="8" w:space="0" w:color="6E88D2" w:themeColor="accent3" w:themeTint="BF"/>
        <w:bottom w:val="single" w:sz="8" w:space="0" w:color="6E88D2" w:themeColor="accent3" w:themeTint="BF"/>
        <w:right w:val="single" w:sz="8" w:space="0" w:color="6E88D2" w:themeColor="accent3" w:themeTint="BF"/>
        <w:insideH w:val="single" w:sz="8" w:space="0" w:color="6E88D2" w:themeColor="accent3" w:themeTint="BF"/>
      </w:tblBorders>
    </w:tblPr>
    <w:tblStylePr w:type="firstRow">
      <w:pPr>
        <w:spacing w:before="0" w:after="0" w:line="240" w:lineRule="auto"/>
      </w:pPr>
      <w:rPr>
        <w:b/>
        <w:bCs/>
        <w:color w:val="FFFFFF" w:themeColor="background1"/>
      </w:rPr>
      <w:tblPr/>
      <w:tcPr>
        <w:tcBorders>
          <w:top w:val="single" w:sz="8" w:space="0" w:color="6E88D2" w:themeColor="accent3" w:themeTint="BF"/>
          <w:left w:val="single" w:sz="8" w:space="0" w:color="6E88D2" w:themeColor="accent3" w:themeTint="BF"/>
          <w:bottom w:val="single" w:sz="8" w:space="0" w:color="6E88D2" w:themeColor="accent3" w:themeTint="BF"/>
          <w:right w:val="single" w:sz="8" w:space="0" w:color="6E88D2" w:themeColor="accent3" w:themeTint="BF"/>
          <w:insideH w:val="nil"/>
          <w:insideV w:val="nil"/>
        </w:tcBorders>
        <w:shd w:val="clear" w:color="auto" w:fill="3F61C4" w:themeFill="accent3"/>
      </w:tcPr>
    </w:tblStylePr>
    <w:tblStylePr w:type="lastRow">
      <w:pPr>
        <w:spacing w:before="0" w:after="0" w:line="240" w:lineRule="auto"/>
      </w:pPr>
      <w:rPr>
        <w:b/>
        <w:bCs/>
      </w:rPr>
      <w:tblPr/>
      <w:tcPr>
        <w:tcBorders>
          <w:top w:val="double" w:sz="6" w:space="0" w:color="6E88D2" w:themeColor="accent3" w:themeTint="BF"/>
          <w:left w:val="single" w:sz="8" w:space="0" w:color="6E88D2" w:themeColor="accent3" w:themeTint="BF"/>
          <w:bottom w:val="single" w:sz="8" w:space="0" w:color="6E88D2" w:themeColor="accent3" w:themeTint="BF"/>
          <w:right w:val="single" w:sz="8" w:space="0" w:color="6E88D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7F0" w:themeFill="accent3" w:themeFillTint="3F"/>
      </w:tcPr>
    </w:tblStylePr>
    <w:tblStylePr w:type="band1Horz">
      <w:tblPr/>
      <w:tcPr>
        <w:tcBorders>
          <w:insideH w:val="nil"/>
          <w:insideV w:val="nil"/>
        </w:tcBorders>
        <w:shd w:val="clear" w:color="auto" w:fill="CFD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43E6A8" w:themeColor="accent4" w:themeTint="BF"/>
        <w:left w:val="single" w:sz="8" w:space="0" w:color="43E6A8" w:themeColor="accent4" w:themeTint="BF"/>
        <w:bottom w:val="single" w:sz="8" w:space="0" w:color="43E6A8" w:themeColor="accent4" w:themeTint="BF"/>
        <w:right w:val="single" w:sz="8" w:space="0" w:color="43E6A8" w:themeColor="accent4" w:themeTint="BF"/>
        <w:insideH w:val="single" w:sz="8" w:space="0" w:color="43E6A8" w:themeColor="accent4" w:themeTint="BF"/>
      </w:tblBorders>
    </w:tblPr>
    <w:tblStylePr w:type="firstRow">
      <w:pPr>
        <w:spacing w:before="0" w:after="0" w:line="240" w:lineRule="auto"/>
      </w:pPr>
      <w:rPr>
        <w:b/>
        <w:bCs/>
        <w:color w:val="FFFFFF" w:themeColor="background1"/>
      </w:rPr>
      <w:tblPr/>
      <w:tcPr>
        <w:tcBorders>
          <w:top w:val="single" w:sz="8" w:space="0" w:color="43E6A8" w:themeColor="accent4" w:themeTint="BF"/>
          <w:left w:val="single" w:sz="8" w:space="0" w:color="43E6A8" w:themeColor="accent4" w:themeTint="BF"/>
          <w:bottom w:val="single" w:sz="8" w:space="0" w:color="43E6A8" w:themeColor="accent4" w:themeTint="BF"/>
          <w:right w:val="single" w:sz="8" w:space="0" w:color="43E6A8" w:themeColor="accent4" w:themeTint="BF"/>
          <w:insideH w:val="nil"/>
          <w:insideV w:val="nil"/>
        </w:tcBorders>
        <w:shd w:val="clear" w:color="auto" w:fill="1AC987" w:themeFill="accent4"/>
      </w:tcPr>
    </w:tblStylePr>
    <w:tblStylePr w:type="lastRow">
      <w:pPr>
        <w:spacing w:before="0" w:after="0" w:line="240" w:lineRule="auto"/>
      </w:pPr>
      <w:rPr>
        <w:b/>
        <w:bCs/>
      </w:rPr>
      <w:tblPr/>
      <w:tcPr>
        <w:tcBorders>
          <w:top w:val="double" w:sz="6" w:space="0" w:color="43E6A8" w:themeColor="accent4" w:themeTint="BF"/>
          <w:left w:val="single" w:sz="8" w:space="0" w:color="43E6A8" w:themeColor="accent4" w:themeTint="BF"/>
          <w:bottom w:val="single" w:sz="8" w:space="0" w:color="43E6A8" w:themeColor="accent4" w:themeTint="BF"/>
          <w:right w:val="single" w:sz="8" w:space="0" w:color="43E6A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F7E2" w:themeFill="accent4" w:themeFillTint="3F"/>
      </w:tcPr>
    </w:tblStylePr>
    <w:tblStylePr w:type="band1Horz">
      <w:tblPr/>
      <w:tcPr>
        <w:tcBorders>
          <w:insideH w:val="nil"/>
          <w:insideV w:val="nil"/>
        </w:tcBorders>
        <w:shd w:val="clear" w:color="auto" w:fill="C1F7E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FBACC7" w:themeColor="accent5" w:themeTint="BF"/>
        <w:left w:val="single" w:sz="8" w:space="0" w:color="FBACC7" w:themeColor="accent5" w:themeTint="BF"/>
        <w:bottom w:val="single" w:sz="8" w:space="0" w:color="FBACC7" w:themeColor="accent5" w:themeTint="BF"/>
        <w:right w:val="single" w:sz="8" w:space="0" w:color="FBACC7" w:themeColor="accent5" w:themeTint="BF"/>
        <w:insideH w:val="single" w:sz="8" w:space="0" w:color="FBACC7" w:themeColor="accent5" w:themeTint="BF"/>
      </w:tblBorders>
    </w:tblPr>
    <w:tblStylePr w:type="firstRow">
      <w:pPr>
        <w:spacing w:before="0" w:after="0" w:line="240" w:lineRule="auto"/>
      </w:pPr>
      <w:rPr>
        <w:b/>
        <w:bCs/>
        <w:color w:val="FFFFFF" w:themeColor="background1"/>
      </w:rPr>
      <w:tblPr/>
      <w:tcPr>
        <w:tcBorders>
          <w:top w:val="single" w:sz="8" w:space="0" w:color="FBACC7" w:themeColor="accent5" w:themeTint="BF"/>
          <w:left w:val="single" w:sz="8" w:space="0" w:color="FBACC7" w:themeColor="accent5" w:themeTint="BF"/>
          <w:bottom w:val="single" w:sz="8" w:space="0" w:color="FBACC7" w:themeColor="accent5" w:themeTint="BF"/>
          <w:right w:val="single" w:sz="8" w:space="0" w:color="FBACC7" w:themeColor="accent5" w:themeTint="BF"/>
          <w:insideH w:val="nil"/>
          <w:insideV w:val="nil"/>
        </w:tcBorders>
        <w:shd w:val="clear" w:color="auto" w:fill="FA91B6" w:themeFill="accent5"/>
      </w:tcPr>
    </w:tblStylePr>
    <w:tblStylePr w:type="lastRow">
      <w:pPr>
        <w:spacing w:before="0" w:after="0" w:line="240" w:lineRule="auto"/>
      </w:pPr>
      <w:rPr>
        <w:b/>
        <w:bCs/>
      </w:rPr>
      <w:tblPr/>
      <w:tcPr>
        <w:tcBorders>
          <w:top w:val="double" w:sz="6" w:space="0" w:color="FBACC7" w:themeColor="accent5" w:themeTint="BF"/>
          <w:left w:val="single" w:sz="8" w:space="0" w:color="FBACC7" w:themeColor="accent5" w:themeTint="BF"/>
          <w:bottom w:val="single" w:sz="8" w:space="0" w:color="FBACC7" w:themeColor="accent5" w:themeTint="BF"/>
          <w:right w:val="single" w:sz="8" w:space="0" w:color="FBACC7"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3EC" w:themeFill="accent5" w:themeFillTint="3F"/>
      </w:tcPr>
    </w:tblStylePr>
    <w:tblStylePr w:type="band1Horz">
      <w:tblPr/>
      <w:tcPr>
        <w:tcBorders>
          <w:insideH w:val="nil"/>
          <w:insideV w:val="nil"/>
        </w:tcBorders>
        <w:shd w:val="clear" w:color="auto" w:fill="FDE3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A78DD5" w:themeColor="accent6" w:themeTint="BF"/>
        <w:left w:val="single" w:sz="8" w:space="0" w:color="A78DD5" w:themeColor="accent6" w:themeTint="BF"/>
        <w:bottom w:val="single" w:sz="8" w:space="0" w:color="A78DD5" w:themeColor="accent6" w:themeTint="BF"/>
        <w:right w:val="single" w:sz="8" w:space="0" w:color="A78DD5" w:themeColor="accent6" w:themeTint="BF"/>
        <w:insideH w:val="single" w:sz="8" w:space="0" w:color="A78DD5" w:themeColor="accent6" w:themeTint="BF"/>
      </w:tblBorders>
    </w:tblPr>
    <w:tblStylePr w:type="firstRow">
      <w:pPr>
        <w:spacing w:before="0" w:after="0" w:line="240" w:lineRule="auto"/>
      </w:pPr>
      <w:rPr>
        <w:b/>
        <w:bCs/>
        <w:color w:val="FFFFFF" w:themeColor="background1"/>
      </w:rPr>
      <w:tblPr/>
      <w:tcPr>
        <w:tcBorders>
          <w:top w:val="single" w:sz="8" w:space="0" w:color="A78DD5" w:themeColor="accent6" w:themeTint="BF"/>
          <w:left w:val="single" w:sz="8" w:space="0" w:color="A78DD5" w:themeColor="accent6" w:themeTint="BF"/>
          <w:bottom w:val="single" w:sz="8" w:space="0" w:color="A78DD5" w:themeColor="accent6" w:themeTint="BF"/>
          <w:right w:val="single" w:sz="8" w:space="0" w:color="A78DD5" w:themeColor="accent6" w:themeTint="BF"/>
          <w:insideH w:val="nil"/>
          <w:insideV w:val="nil"/>
        </w:tcBorders>
        <w:shd w:val="clear" w:color="auto" w:fill="8A68C8" w:themeFill="accent6"/>
      </w:tcPr>
    </w:tblStylePr>
    <w:tblStylePr w:type="lastRow">
      <w:pPr>
        <w:spacing w:before="0" w:after="0" w:line="240" w:lineRule="auto"/>
      </w:pPr>
      <w:rPr>
        <w:b/>
        <w:bCs/>
      </w:rPr>
      <w:tblPr/>
      <w:tcPr>
        <w:tcBorders>
          <w:top w:val="double" w:sz="6" w:space="0" w:color="A78DD5" w:themeColor="accent6" w:themeTint="BF"/>
          <w:left w:val="single" w:sz="8" w:space="0" w:color="A78DD5" w:themeColor="accent6" w:themeTint="BF"/>
          <w:bottom w:val="single" w:sz="8" w:space="0" w:color="A78DD5" w:themeColor="accent6" w:themeTint="BF"/>
          <w:right w:val="single" w:sz="8" w:space="0" w:color="A78D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1D9F1" w:themeFill="accent6" w:themeFillTint="3F"/>
      </w:tcPr>
    </w:tblStylePr>
    <w:tblStylePr w:type="band1Horz">
      <w:tblPr/>
      <w:tcPr>
        <w:tcBorders>
          <w:insideH w:val="nil"/>
          <w:insideV w:val="nil"/>
        </w:tcBorders>
        <w:shd w:val="clear" w:color="auto" w:fill="E1D9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C00" w:themeFill="accent1"/>
      </w:tcPr>
    </w:tblStylePr>
    <w:tblStylePr w:type="lastCol">
      <w:rPr>
        <w:b/>
        <w:bCs/>
        <w:color w:val="FFFFFF" w:themeColor="background1"/>
      </w:rPr>
      <w:tblPr/>
      <w:tcPr>
        <w:tcBorders>
          <w:left w:val="nil"/>
          <w:right w:val="nil"/>
          <w:insideH w:val="nil"/>
          <w:insideV w:val="nil"/>
        </w:tcBorders>
        <w:shd w:val="clear" w:color="auto" w:fill="FFD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35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35D" w:themeFill="accent2"/>
      </w:tcPr>
    </w:tblStylePr>
    <w:tblStylePr w:type="lastCol">
      <w:rPr>
        <w:b/>
        <w:bCs/>
        <w:color w:val="FFFFFF" w:themeColor="background1"/>
      </w:rPr>
      <w:tblPr/>
      <w:tcPr>
        <w:tcBorders>
          <w:left w:val="nil"/>
          <w:right w:val="nil"/>
          <w:insideH w:val="nil"/>
          <w:insideV w:val="nil"/>
        </w:tcBorders>
        <w:shd w:val="clear" w:color="auto" w:fill="FF635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61C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61C4" w:themeFill="accent3"/>
      </w:tcPr>
    </w:tblStylePr>
    <w:tblStylePr w:type="lastCol">
      <w:rPr>
        <w:b/>
        <w:bCs/>
        <w:color w:val="FFFFFF" w:themeColor="background1"/>
      </w:rPr>
      <w:tblPr/>
      <w:tcPr>
        <w:tcBorders>
          <w:left w:val="nil"/>
          <w:right w:val="nil"/>
          <w:insideH w:val="nil"/>
          <w:insideV w:val="nil"/>
        </w:tcBorders>
        <w:shd w:val="clear" w:color="auto" w:fill="3F61C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C9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C987" w:themeFill="accent4"/>
      </w:tcPr>
    </w:tblStylePr>
    <w:tblStylePr w:type="lastCol">
      <w:rPr>
        <w:b/>
        <w:bCs/>
        <w:color w:val="FFFFFF" w:themeColor="background1"/>
      </w:rPr>
      <w:tblPr/>
      <w:tcPr>
        <w:tcBorders>
          <w:left w:val="nil"/>
          <w:right w:val="nil"/>
          <w:insideH w:val="nil"/>
          <w:insideV w:val="nil"/>
        </w:tcBorders>
        <w:shd w:val="clear" w:color="auto" w:fill="1AC9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91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91B6" w:themeFill="accent5"/>
      </w:tcPr>
    </w:tblStylePr>
    <w:tblStylePr w:type="lastCol">
      <w:rPr>
        <w:b/>
        <w:bCs/>
        <w:color w:val="FFFFFF" w:themeColor="background1"/>
      </w:rPr>
      <w:tblPr/>
      <w:tcPr>
        <w:tcBorders>
          <w:left w:val="nil"/>
          <w:right w:val="nil"/>
          <w:insideH w:val="nil"/>
          <w:insideV w:val="nil"/>
        </w:tcBorders>
        <w:shd w:val="clear" w:color="auto" w:fill="FA91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6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68C8" w:themeFill="accent6"/>
      </w:tcPr>
    </w:tblStylePr>
    <w:tblStylePr w:type="lastCol">
      <w:rPr>
        <w:b/>
        <w:bCs/>
        <w:color w:val="FFFFFF" w:themeColor="background1"/>
      </w:rPr>
      <w:tblPr/>
      <w:tcPr>
        <w:tcBorders>
          <w:left w:val="nil"/>
          <w:right w:val="nil"/>
          <w:insideH w:val="nil"/>
          <w:insideV w:val="nil"/>
        </w:tcBorders>
        <w:shd w:val="clear" w:color="auto" w:fill="8A6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link w:val="NoSpacingChar"/>
    <w:uiPriority w:val="1"/>
    <w:qFormat/>
    <w:rsid w:val="00F80750"/>
    <w:pPr>
      <w:spacing w:after="0" w:line="240" w:lineRule="auto"/>
    </w:pPr>
  </w:style>
  <w:style w:type="paragraph" w:styleId="NormalWeb">
    <w:name w:val="Normal (Web)"/>
    <w:basedOn w:val="Normal"/>
    <w:uiPriority w:val="99"/>
    <w:semiHidden/>
    <w:rsid w:val="00F80750"/>
    <w:rPr>
      <w:rFonts w:ascii="Times New Roman" w:hAnsi="Times New Roman" w:cs="Times New Roman"/>
    </w:rPr>
  </w:style>
  <w:style w:type="paragraph" w:styleId="NormalIndent">
    <w:name w:val="Normal Indent"/>
    <w:basedOn w:val="Normal"/>
    <w:uiPriority w:val="99"/>
    <w:semiHidden/>
    <w:locked/>
    <w:rsid w:val="00F80750"/>
    <w:pPr>
      <w:ind w:left="720"/>
    </w:pPr>
  </w:style>
  <w:style w:type="paragraph" w:styleId="NoteHeading">
    <w:name w:val="Note Heading"/>
    <w:basedOn w:val="Normal"/>
    <w:next w:val="Normal"/>
    <w:link w:val="NoteHeadingChar"/>
    <w:uiPriority w:val="99"/>
    <w:semiHidden/>
    <w:locked/>
    <w:rsid w:val="00F80750"/>
    <w:p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uiPriority w:val="99"/>
    <w:semiHidden/>
    <w:locked/>
    <w:rsid w:val="00F80750"/>
    <w:rPr>
      <w:noProof w:val="0"/>
      <w:lang w:val="en-AU"/>
    </w:rPr>
  </w:style>
  <w:style w:type="paragraph" w:styleId="PlainText">
    <w:name w:val="Plain Text"/>
    <w:basedOn w:val="Normal"/>
    <w:link w:val="PlainTextChar"/>
    <w:uiPriority w:val="99"/>
    <w:semiHidden/>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29"/>
    <w:qFormat/>
    <w:locked/>
    <w:rsid w:val="00F80750"/>
    <w:rPr>
      <w:i/>
      <w:iCs/>
    </w:rPr>
  </w:style>
  <w:style w:type="character" w:customStyle="1" w:styleId="QuoteChar">
    <w:name w:val="Quote Char"/>
    <w:basedOn w:val="DefaultParagraphFont"/>
    <w:link w:val="Quote"/>
    <w:uiPriority w:val="29"/>
    <w:rsid w:val="00F80750"/>
    <w:rPr>
      <w:i/>
      <w:iCs/>
      <w:noProof w:val="0"/>
      <w:color w:val="000000" w:themeColor="text1"/>
      <w:lang w:val="en-AU"/>
    </w:rPr>
  </w:style>
  <w:style w:type="paragraph" w:styleId="Salutation">
    <w:name w:val="Salutation"/>
    <w:basedOn w:val="Normal"/>
    <w:next w:val="Normal"/>
    <w:link w:val="SalutationChar"/>
    <w:uiPriority w:val="99"/>
    <w:semiHidden/>
    <w:locked/>
    <w:rsid w:val="00F80750"/>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qFormat/>
    <w:locked/>
    <w:rsid w:val="00F80750"/>
    <w:pPr>
      <w:tabs>
        <w:tab w:val="num" w:pos="357"/>
      </w:tabs>
      <w:ind w:left="357" w:hanging="357"/>
    </w:pPr>
    <w:rPr>
      <w:rFonts w:asciiTheme="majorHAnsi" w:eastAsiaTheme="majorEastAsia" w:hAnsiTheme="majorHAnsi" w:cstheme="majorBidi"/>
      <w:i/>
      <w:iCs/>
      <w:color w:val="FFDC00" w:themeColor="accent1"/>
      <w:spacing w:val="15"/>
    </w:rPr>
  </w:style>
  <w:style w:type="character" w:customStyle="1" w:styleId="SubtitleChar">
    <w:name w:val="Subtitle Char"/>
    <w:basedOn w:val="DefaultParagraphFont"/>
    <w:link w:val="Subtitle"/>
    <w:uiPriority w:val="11"/>
    <w:rsid w:val="00D61D08"/>
    <w:rPr>
      <w:rFonts w:asciiTheme="majorHAnsi" w:eastAsiaTheme="majorEastAsia" w:hAnsiTheme="majorHAnsi" w:cstheme="majorBidi"/>
      <w:i/>
      <w:iCs/>
      <w:color w:val="FFDC00" w:themeColor="accent1"/>
      <w:spacing w:val="15"/>
    </w:rPr>
  </w:style>
  <w:style w:type="character" w:styleId="SubtleEmphasis">
    <w:name w:val="Subtle Emphasis"/>
    <w:basedOn w:val="DefaultParagraphFont"/>
    <w:uiPriority w:val="19"/>
    <w:qFormat/>
    <w:locked/>
    <w:rsid w:val="00F80750"/>
    <w:rPr>
      <w:i/>
      <w:iCs/>
      <w:noProof w:val="0"/>
      <w:color w:val="808080" w:themeColor="text1" w:themeTint="7F"/>
      <w:lang w:val="en-AU"/>
    </w:rPr>
  </w:style>
  <w:style w:type="character" w:styleId="SubtleReference">
    <w:name w:val="Subtle Reference"/>
    <w:basedOn w:val="DefaultParagraphFont"/>
    <w:uiPriority w:val="31"/>
    <w:qFormat/>
    <w:locked/>
    <w:rsid w:val="00F80750"/>
    <w:rPr>
      <w:smallCaps/>
      <w:noProof w:val="0"/>
      <w:color w:val="FF635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spacing w:after="0"/>
      <w:ind w:left="190" w:hanging="190"/>
    </w:pPr>
  </w:style>
  <w:style w:type="paragraph" w:styleId="TableofFigures">
    <w:name w:val="table of figures"/>
    <w:basedOn w:val="Normal"/>
    <w:next w:val="Normal"/>
    <w:uiPriority w:val="99"/>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6C5810"/>
    <w:pPr>
      <w:tabs>
        <w:tab w:val="right" w:pos="10036"/>
      </w:tabs>
      <w:spacing w:after="0"/>
    </w:pPr>
  </w:style>
  <w:style w:type="paragraph" w:styleId="TOC3">
    <w:name w:val="toc 3"/>
    <w:basedOn w:val="Normal"/>
    <w:next w:val="Normal"/>
    <w:autoRedefine/>
    <w:uiPriority w:val="39"/>
    <w:rsid w:val="006C5810"/>
    <w:pPr>
      <w:tabs>
        <w:tab w:val="right" w:pos="10036"/>
      </w:tabs>
      <w:spacing w:after="0"/>
    </w:pPr>
    <w:rPr>
      <w:sz w:val="18"/>
    </w:rPr>
  </w:style>
  <w:style w:type="paragraph" w:styleId="TOC4">
    <w:name w:val="toc 4"/>
    <w:basedOn w:val="Normal"/>
    <w:next w:val="Normal"/>
    <w:autoRedefine/>
    <w:uiPriority w:val="39"/>
    <w:semiHidden/>
    <w:locked/>
    <w:rsid w:val="00F80750"/>
    <w:pPr>
      <w:spacing w:after="100"/>
      <w:ind w:left="570"/>
    </w:pPr>
  </w:style>
  <w:style w:type="paragraph" w:styleId="TOC5">
    <w:name w:val="toc 5"/>
    <w:basedOn w:val="Normal"/>
    <w:next w:val="Normal"/>
    <w:autoRedefine/>
    <w:uiPriority w:val="39"/>
    <w:semiHidden/>
    <w:locked/>
    <w:rsid w:val="00F80750"/>
    <w:pPr>
      <w:spacing w:after="100"/>
      <w:ind w:left="760"/>
    </w:pPr>
  </w:style>
  <w:style w:type="paragraph" w:styleId="TOC6">
    <w:name w:val="toc 6"/>
    <w:basedOn w:val="Normal"/>
    <w:next w:val="Normal"/>
    <w:autoRedefine/>
    <w:uiPriority w:val="39"/>
    <w:semiHidden/>
    <w:locked/>
    <w:rsid w:val="00F80750"/>
    <w:pPr>
      <w:spacing w:after="100"/>
      <w:ind w:left="950"/>
    </w:pPr>
  </w:style>
  <w:style w:type="paragraph" w:styleId="TOC7">
    <w:name w:val="toc 7"/>
    <w:basedOn w:val="Normal"/>
    <w:next w:val="Normal"/>
    <w:autoRedefine/>
    <w:uiPriority w:val="39"/>
    <w:semiHidden/>
    <w:locked/>
    <w:rsid w:val="00F80750"/>
    <w:pPr>
      <w:spacing w:after="100"/>
      <w:ind w:left="1140"/>
    </w:pPr>
  </w:style>
  <w:style w:type="paragraph" w:styleId="TOC8">
    <w:name w:val="toc 8"/>
    <w:basedOn w:val="Normal"/>
    <w:next w:val="Normal"/>
    <w:autoRedefine/>
    <w:uiPriority w:val="39"/>
    <w:semiHidden/>
    <w:locked/>
    <w:rsid w:val="00F80750"/>
    <w:pPr>
      <w:spacing w:after="100"/>
      <w:ind w:left="1330"/>
    </w:pPr>
  </w:style>
  <w:style w:type="paragraph" w:styleId="TOC9">
    <w:name w:val="toc 9"/>
    <w:basedOn w:val="Normal"/>
    <w:next w:val="Normal"/>
    <w:autoRedefine/>
    <w:uiPriority w:val="39"/>
    <w:semiHidden/>
    <w:locked/>
    <w:rsid w:val="00F80750"/>
    <w:pPr>
      <w:spacing w:after="100"/>
      <w:ind w:left="1520"/>
    </w:pPr>
  </w:style>
  <w:style w:type="numbering" w:styleId="111111">
    <w:name w:val="Outline List 2"/>
    <w:basedOn w:val="NoList"/>
    <w:uiPriority w:val="99"/>
    <w:semiHidden/>
    <w:unhideWhenUsed/>
    <w:rsid w:val="006309FA"/>
    <w:pPr>
      <w:numPr>
        <w:numId w:val="9"/>
      </w:numPr>
    </w:pPr>
  </w:style>
  <w:style w:type="paragraph" w:customStyle="1" w:styleId="LeadIntroduction">
    <w:name w:val="Lead Introduction"/>
    <w:basedOn w:val="Normal"/>
    <w:uiPriority w:val="11"/>
    <w:qFormat/>
    <w:rsid w:val="00A2395C"/>
    <w:pPr>
      <w:spacing w:line="240" w:lineRule="auto"/>
    </w:pPr>
    <w:rPr>
      <w:rFonts w:asciiTheme="majorHAnsi" w:hAnsiTheme="majorHAnsi"/>
      <w:sz w:val="32"/>
    </w:rPr>
  </w:style>
  <w:style w:type="table" w:styleId="TableGridLight">
    <w:name w:val="Grid Table Light"/>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2"/>
      </w:numPr>
    </w:pPr>
  </w:style>
  <w:style w:type="paragraph" w:customStyle="1" w:styleId="AppendixHeading">
    <w:name w:val="Appendix Heading"/>
    <w:basedOn w:val="Heading1"/>
    <w:next w:val="Normal"/>
    <w:uiPriority w:val="10"/>
    <w:qFormat/>
    <w:rsid w:val="003A2733"/>
    <w:pPr>
      <w:numPr>
        <w:numId w:val="32"/>
      </w:numPr>
    </w:pPr>
  </w:style>
  <w:style w:type="paragraph" w:customStyle="1" w:styleId="AppendixSubHeading">
    <w:name w:val="Appendix Sub Heading"/>
    <w:basedOn w:val="Heading2"/>
    <w:next w:val="Normal"/>
    <w:uiPriority w:val="10"/>
    <w:qFormat/>
    <w:rsid w:val="003A2733"/>
    <w:pPr>
      <w:numPr>
        <w:numId w:val="32"/>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BA627A"/>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uiPriority w:val="99"/>
    <w:rsid w:val="007E0441"/>
  </w:style>
  <w:style w:type="table" w:customStyle="1" w:styleId="HiddenTable">
    <w:name w:val="Hidden Table"/>
    <w:basedOn w:val="TableNormal"/>
    <w:uiPriority w:val="99"/>
    <w:rsid w:val="004020D8"/>
    <w:tblPr>
      <w:tblCellMar>
        <w:left w:w="0" w:type="dxa"/>
        <w:right w:w="0" w:type="dxa"/>
      </w:tblCellMar>
    </w:tblPr>
    <w:tblStylePr w:type="firstRow">
      <w:rPr>
        <w:b w:val="0"/>
        <w:color w:val="000000" w:themeColor="text1"/>
      </w:rPr>
    </w:tblStylePr>
    <w:tblStylePr w:type="lastRow">
      <w:rPr>
        <w:b/>
      </w:rPr>
    </w:tblStylePr>
    <w:tblStylePr w:type="firstCol">
      <w:rPr>
        <w:b w:val="0"/>
      </w:rPr>
    </w:tblStylePr>
    <w:tblStylePr w:type="lastCol">
      <w:pPr>
        <w:wordWrap/>
        <w:spacing w:beforeLines="40" w:before="40" w:beforeAutospacing="0" w:afterLines="40" w:after="40" w:afterAutospacing="0" w:line="276" w:lineRule="auto"/>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rsid w:val="00445E9C"/>
    <w:pPr>
      <w:spacing w:after="480"/>
      <w:contextualSpacing/>
    </w:pPr>
  </w:style>
  <w:style w:type="paragraph" w:customStyle="1" w:styleId="KindRegards">
    <w:name w:val="Kind Regards"/>
    <w:basedOn w:val="Normal"/>
    <w:uiPriority w:val="37"/>
    <w:rsid w:val="00445E9C"/>
    <w:pPr>
      <w:spacing w:after="840"/>
    </w:pPr>
  </w:style>
  <w:style w:type="paragraph" w:customStyle="1" w:styleId="Pullout">
    <w:name w:val="Pullout"/>
    <w:basedOn w:val="Normal"/>
    <w:uiPriority w:val="11"/>
    <w:qFormat/>
    <w:rsid w:val="00A2395C"/>
    <w:pPr>
      <w:spacing w:line="240" w:lineRule="auto"/>
    </w:pPr>
    <w:rPr>
      <w:rFonts w:asciiTheme="majorHAnsi" w:hAnsiTheme="majorHAnsi"/>
      <w:sz w:val="28"/>
    </w:rPr>
  </w:style>
  <w:style w:type="table" w:customStyle="1" w:styleId="CoverHidden">
    <w:name w:val="Cover Hidden"/>
    <w:basedOn w:val="TableNormal"/>
    <w:uiPriority w:val="99"/>
    <w:rsid w:val="003162CD"/>
    <w:pPr>
      <w:spacing w:after="0" w:line="240" w:lineRule="auto"/>
    </w:pPr>
    <w:rPr>
      <w:rFonts w:ascii="Sommet" w:hAnsi="Sommet"/>
    </w:rPr>
    <w:tblPr>
      <w:tblCellMar>
        <w:left w:w="0" w:type="dxa"/>
        <w:right w:w="0" w:type="dxa"/>
      </w:tblCellMar>
    </w:tblPr>
    <w:tcPr>
      <w:vAlign w:val="bottom"/>
    </w:tcPr>
  </w:style>
  <w:style w:type="paragraph" w:customStyle="1" w:styleId="TitleWhite">
    <w:name w:val="Title White"/>
    <w:basedOn w:val="Title"/>
    <w:uiPriority w:val="21"/>
    <w:rsid w:val="006A0274"/>
    <w:pPr>
      <w:framePr w:wrap="around" w:vAnchor="page" w:hAnchor="margin" w:x="3857" w:y="1135"/>
      <w:suppressOverlap/>
    </w:pPr>
    <w:rPr>
      <w:color w:val="FFFFFF" w:themeColor="background1"/>
    </w:rPr>
  </w:style>
  <w:style w:type="paragraph" w:customStyle="1" w:styleId="CoverSubtitleWhite">
    <w:name w:val="Cover Subtitle White"/>
    <w:basedOn w:val="CoverSubtitleFacultySchool"/>
    <w:uiPriority w:val="21"/>
    <w:rsid w:val="006A0274"/>
    <w:pPr>
      <w:framePr w:wrap="around" w:vAnchor="page" w:hAnchor="margin" w:x="3857" w:y="1135"/>
      <w:suppressOverlap/>
    </w:pPr>
    <w:rPr>
      <w:color w:val="FFFFFF" w:themeColor="background1"/>
    </w:rPr>
  </w:style>
  <w:style w:type="paragraph" w:customStyle="1" w:styleId="ListParagraphNoIndent">
    <w:name w:val="List Paragraph No Indent"/>
    <w:uiPriority w:val="17"/>
    <w:rsid w:val="002C2F55"/>
    <w:pPr>
      <w:contextualSpacing/>
    </w:pPr>
  </w:style>
  <w:style w:type="character" w:customStyle="1" w:styleId="NoSpacingChar">
    <w:name w:val="No Spacing Char"/>
    <w:basedOn w:val="DefaultParagraphFont"/>
    <w:link w:val="NoSpacing"/>
    <w:uiPriority w:val="1"/>
    <w:rsid w:val="00821E0A"/>
  </w:style>
  <w:style w:type="character" w:customStyle="1" w:styleId="ListParagraphChar">
    <w:name w:val="List Paragraph Char"/>
    <w:basedOn w:val="DefaultParagraphFont"/>
    <w:link w:val="ListParagraph"/>
    <w:uiPriority w:val="34"/>
    <w:rsid w:val="0003264E"/>
  </w:style>
  <w:style w:type="table" w:customStyle="1" w:styleId="TableGrid20">
    <w:name w:val="Table Grid2"/>
    <w:basedOn w:val="TableNormal"/>
    <w:next w:val="TableGrid"/>
    <w:uiPriority w:val="39"/>
    <w:rsid w:val="000006C9"/>
    <w:pPr>
      <w:spacing w:after="0" w:line="240" w:lineRule="auto"/>
      <w:jc w:val="both"/>
    </w:pPr>
    <w:rPr>
      <w:rFonts w:ascii="Times New Roman" w:eastAsia="Times New Roman" w:hAnsi="Times New Roman" w:cs="Times New Roman"/>
      <w:color w:val="auto"/>
      <w:sz w:val="24"/>
      <w:szCs w:val="24"/>
      <w:lang w:val="en-US"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3D1E49"/>
    <w:rPr>
      <w:color w:val="605E5C"/>
      <w:shd w:val="clear" w:color="auto" w:fill="E1DFDD"/>
    </w:rPr>
  </w:style>
  <w:style w:type="character" w:styleId="Mention">
    <w:name w:val="Mention"/>
    <w:basedOn w:val="DefaultParagraphFont"/>
    <w:uiPriority w:val="99"/>
    <w:semiHidden/>
    <w:rsid w:val="00E452D1"/>
    <w:rPr>
      <w:color w:val="2B579A"/>
      <w:shd w:val="clear" w:color="auto" w:fill="E1DFDD"/>
    </w:rPr>
  </w:style>
  <w:style w:type="paragraph" w:styleId="Revision">
    <w:name w:val="Revision"/>
    <w:hidden/>
    <w:uiPriority w:val="99"/>
    <w:semiHidden/>
    <w:rsid w:val="00900554"/>
    <w:pPr>
      <w:spacing w:after="0" w:line="240" w:lineRule="auto"/>
    </w:pPr>
  </w:style>
  <w:style w:type="table" w:customStyle="1" w:styleId="TableGrid10">
    <w:name w:val="Table Grid1"/>
    <w:basedOn w:val="TableNormal"/>
    <w:next w:val="TableGrid"/>
    <w:uiPriority w:val="39"/>
    <w:rsid w:val="00D64949"/>
    <w:pPr>
      <w:spacing w:after="0" w:line="240" w:lineRule="auto"/>
    </w:pPr>
    <w:rPr>
      <w:rFonts w:asciiTheme="minorHAnsi" w:eastAsiaTheme="minorEastAsia" w:hAnsiTheme="minorHAnsi"/>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0968">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344553069">
      <w:bodyDiv w:val="1"/>
      <w:marLeft w:val="0"/>
      <w:marRight w:val="0"/>
      <w:marTop w:val="0"/>
      <w:marBottom w:val="0"/>
      <w:divBdr>
        <w:top w:val="none" w:sz="0" w:space="0" w:color="auto"/>
        <w:left w:val="none" w:sz="0" w:space="0" w:color="auto"/>
        <w:bottom w:val="none" w:sz="0" w:space="0" w:color="auto"/>
        <w:right w:val="none" w:sz="0" w:space="0" w:color="auto"/>
      </w:divBdr>
    </w:div>
    <w:div w:id="713577290">
      <w:bodyDiv w:val="1"/>
      <w:marLeft w:val="0"/>
      <w:marRight w:val="0"/>
      <w:marTop w:val="0"/>
      <w:marBottom w:val="0"/>
      <w:divBdr>
        <w:top w:val="none" w:sz="0" w:space="0" w:color="auto"/>
        <w:left w:val="none" w:sz="0" w:space="0" w:color="auto"/>
        <w:bottom w:val="none" w:sz="0" w:space="0" w:color="auto"/>
        <w:right w:val="none" w:sz="0" w:space="0" w:color="auto"/>
      </w:divBdr>
    </w:div>
    <w:div w:id="768501344">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75797408">
      <w:bodyDiv w:val="1"/>
      <w:marLeft w:val="0"/>
      <w:marRight w:val="0"/>
      <w:marTop w:val="0"/>
      <w:marBottom w:val="0"/>
      <w:divBdr>
        <w:top w:val="none" w:sz="0" w:space="0" w:color="auto"/>
        <w:left w:val="none" w:sz="0" w:space="0" w:color="auto"/>
        <w:bottom w:val="none" w:sz="0" w:space="0" w:color="auto"/>
        <w:right w:val="none" w:sz="0" w:space="0" w:color="auto"/>
      </w:divBdr>
    </w:div>
    <w:div w:id="1197232637">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88299015">
      <w:bodyDiv w:val="1"/>
      <w:marLeft w:val="0"/>
      <w:marRight w:val="0"/>
      <w:marTop w:val="0"/>
      <w:marBottom w:val="0"/>
      <w:divBdr>
        <w:top w:val="none" w:sz="0" w:space="0" w:color="auto"/>
        <w:left w:val="none" w:sz="0" w:space="0" w:color="auto"/>
        <w:bottom w:val="none" w:sz="0" w:space="0" w:color="auto"/>
        <w:right w:val="none" w:sz="0" w:space="0" w:color="auto"/>
      </w:divBdr>
    </w:div>
    <w:div w:id="189792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search.csiro.au/hyresource/projec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5079580\AppData\Local\Temp\Temp1_word%20templates.zip\Word-Template-Portrait.dotx" TargetMode="External"/></Relationships>
</file>

<file path=word/theme/theme1.xml><?xml version="1.0" encoding="utf-8"?>
<a:theme xmlns:a="http://schemas.openxmlformats.org/drawingml/2006/main" name="Office Theme">
  <a:themeElements>
    <a:clrScheme name="UNSW_2020">
      <a:dk1>
        <a:srgbClr val="000000"/>
      </a:dk1>
      <a:lt1>
        <a:sysClr val="window" lastClr="FFFFFF"/>
      </a:lt1>
      <a:dk2>
        <a:srgbClr val="737373"/>
      </a:dk2>
      <a:lt2>
        <a:srgbClr val="F2F2F2"/>
      </a:lt2>
      <a:accent1>
        <a:srgbClr val="FFDC00"/>
      </a:accent1>
      <a:accent2>
        <a:srgbClr val="FF635D"/>
      </a:accent2>
      <a:accent3>
        <a:srgbClr val="3F61C4"/>
      </a:accent3>
      <a:accent4>
        <a:srgbClr val="1AC987"/>
      </a:accent4>
      <a:accent5>
        <a:srgbClr val="FA91B6"/>
      </a:accent5>
      <a:accent6>
        <a:srgbClr val="8A68C8"/>
      </a:accent6>
      <a:hlink>
        <a:srgbClr val="0000FF"/>
      </a:hlink>
      <a:folHlink>
        <a:srgbClr val="7030A0"/>
      </a:folHlink>
    </a:clrScheme>
    <a:fontScheme name="UNSW Clancy">
      <a:majorFont>
        <a:latin typeface="Clancy"/>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C4FC2D-E269-49BC-936F-5856B632F892}">
  <we:reference id="f78a3046-9e99-4300-aa2b-5814002b01a2" version="1.21.0.0" store="EXCatalog" storeType="EXCatalog"/>
  <we:alternateReferences>
    <we:reference id="WA104382081" version="1.21.0.0" store="en-AU"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Aus19</b:Tag>
    <b:SourceType>Report</b:SourceType>
    <b:Guid>{F5C085DC-E048-4C1F-8DFC-198B55B5B8DE}</b:Guid>
    <b:Title>Australian and Global Hydrogen Demand Growth Analysis</b:Title>
    <b:Year>2019</b:Year>
    <b:Publisher>Deloitte</b:Publisher>
    <b:RefOrder>5</b:RefOrder>
  </b:Source>
  <b:Source>
    <b:Tag>COA19</b:Tag>
    <b:SourceType>Report</b:SourceType>
    <b:Guid>{A360FEC9-D238-4E9D-8C22-1B54FA08D10B}</b:Guid>
    <b:Author>
      <b:Author>
        <b:NameList>
          <b:Person>
            <b:Last>Council</b:Last>
            <b:First>COAG</b:First>
            <b:Middle>Energy</b:Middle>
          </b:Person>
        </b:NameList>
      </b:Author>
    </b:Author>
    <b:Title>Australia's National Hydrogen Strategy</b:Title>
    <b:Year>2019</b:Year>
    <b:Publisher>Commonwealth of Australia</b:Publisher>
    <b:RefOrder>6</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401C950BBEF99749AB459631E53BD299" ma:contentTypeVersion="11" ma:contentTypeDescription="Create a new document." ma:contentTypeScope="" ma:versionID="3d62f378da96a16bdc899acbacfeb709">
  <xsd:schema xmlns:xsd="http://www.w3.org/2001/XMLSchema" xmlns:xs="http://www.w3.org/2001/XMLSchema" xmlns:p="http://schemas.microsoft.com/office/2006/metadata/properties" xmlns:ns2="b7ea4d51-1cc6-45e0-9097-21d4006b59c2" xmlns:ns3="1c5196e8-33c1-4d8b-916a-c67740d14e25" targetNamespace="http://schemas.microsoft.com/office/2006/metadata/properties" ma:root="true" ma:fieldsID="fc148120307e5b7292bd5bebf0e76b4d" ns2:_="" ns3:_="">
    <xsd:import namespace="b7ea4d51-1cc6-45e0-9097-21d4006b59c2"/>
    <xsd:import namespace="1c5196e8-33c1-4d8b-916a-c67740d14e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a4d51-1cc6-45e0-9097-21d4006b5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5196e8-33c1-4d8b-916a-c67740d14e2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1c5196e8-33c1-4d8b-916a-c67740d14e25">
      <UserInfo>
        <DisplayName>Rose Amal</DisplayName>
        <AccountId>24</AccountId>
        <AccountType/>
      </UserInfo>
      <UserInfo>
        <DisplayName>Iain Macgill</DisplayName>
        <AccountId>17</AccountId>
        <AccountType/>
      </UserInfo>
      <UserInfo>
        <DisplayName>Catchpoole, Rob</DisplayName>
        <AccountId>27</AccountId>
        <AccountType/>
      </UserInfo>
      <UserInfo>
        <DisplayName>Kondo-Francois Aguey-Zinsou</DisplayName>
        <AccountId>28</AccountId>
        <AccountType/>
      </UserInfo>
      <UserInfo>
        <DisplayName>Alix Ziebell</DisplayName>
        <AccountId>29</AccountId>
        <AccountType/>
      </UserInfo>
      <UserInfo>
        <DisplayName>Rahman Daiyan</DisplayName>
        <AccountId>11</AccountId>
        <AccountType/>
      </UserInfo>
      <UserInfo>
        <DisplayName>yoshino_y@khi.co.jp</DisplayName>
        <AccountId>31</AccountId>
        <AccountType/>
      </UserInfo>
      <UserInfo>
        <DisplayName>Polepalle, Khushal</DisplayName>
        <AccountId>13</AccountId>
        <AccountType/>
      </UserInfo>
    </SharedWithUsers>
  </documentManagement>
</p:properties>
</file>

<file path=customXml/itemProps1.xml><?xml version="1.0" encoding="utf-8"?>
<ds:datastoreItem xmlns:ds="http://schemas.openxmlformats.org/officeDocument/2006/customXml" ds:itemID="{C5C39CE0-3140-4906-A46B-97FB31A34A96}">
  <ds:schemaRefs>
    <ds:schemaRef ds:uri="http://schemas.openxmlformats.org/officeDocument/2006/bibliography"/>
  </ds:schemaRefs>
</ds:datastoreItem>
</file>

<file path=customXml/itemProps2.xml><?xml version="1.0" encoding="utf-8"?>
<ds:datastoreItem xmlns:ds="http://schemas.openxmlformats.org/officeDocument/2006/customXml" ds:itemID="{C4708ED9-3D92-477C-B214-F9D1945AB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a4d51-1cc6-45e0-9097-21d4006b59c2"/>
    <ds:schemaRef ds:uri="1c5196e8-33c1-4d8b-916a-c67740d14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FAA83-2A4E-4811-A4E0-DB370C579EAF}">
  <ds:schemaRefs>
    <ds:schemaRef ds:uri="http://schemas.microsoft.com/sharepoint/v3/contenttype/forms"/>
  </ds:schemaRefs>
</ds:datastoreItem>
</file>

<file path=customXml/itemProps4.xml><?xml version="1.0" encoding="utf-8"?>
<ds:datastoreItem xmlns:ds="http://schemas.openxmlformats.org/officeDocument/2006/customXml" ds:itemID="{F319FE62-B021-4ADF-B81B-0841ECDAEDAE}">
  <ds:schemaRefs>
    <ds:schemaRef ds:uri="http://schemas.microsoft.com/office/2006/metadata/properties"/>
    <ds:schemaRef ds:uri="http://schemas.microsoft.com/office/infopath/2007/PartnerControls"/>
    <ds:schemaRef ds:uri="1c5196e8-33c1-4d8b-916a-c67740d14e25"/>
  </ds:schemaRefs>
</ds:datastoreItem>
</file>

<file path=docProps/app.xml><?xml version="1.0" encoding="utf-8"?>
<Properties xmlns="http://schemas.openxmlformats.org/officeDocument/2006/extended-properties" xmlns:vt="http://schemas.openxmlformats.org/officeDocument/2006/docPropsVTypes">
  <Template>Word-Template-Portrait</Template>
  <TotalTime>887</TotalTime>
  <Pages>32</Pages>
  <Words>38344</Words>
  <Characters>218565</Characters>
  <Application>Microsoft Office Word</Application>
  <DocSecurity>0</DocSecurity>
  <Lines>1821</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 Daiyan</dc:creator>
  <cp:keywords/>
  <cp:lastModifiedBy>Muhammad Haider Ali Khan</cp:lastModifiedBy>
  <cp:revision>675</cp:revision>
  <cp:lastPrinted>2021-08-01T21:41:00Z</cp:lastPrinted>
  <dcterms:created xsi:type="dcterms:W3CDTF">2021-06-28T13:42:00Z</dcterms:created>
  <dcterms:modified xsi:type="dcterms:W3CDTF">2021-09-01T04:20:00Z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Mendeley Document_1">
    <vt:lpwstr>True</vt:lpwstr>
  </property>
  <property fmtid="{D5CDD505-2E9C-101B-9397-08002B2CF9AE}" pid="5" name="Mendeley Citation Style_1">
    <vt:lpwstr>http://www.zotero.org/styles/nature</vt:lpwstr>
  </property>
  <property fmtid="{D5CDD505-2E9C-101B-9397-08002B2CF9AE}" pid="6" name="ContentTypeId">
    <vt:lpwstr>0x010100401C950BBEF99749AB459631E53BD299</vt:lpwstr>
  </property>
  <property fmtid="{D5CDD505-2E9C-101B-9397-08002B2CF9AE}" pid="7" name="MSIP_Label_ea60d57e-af5b-4752-ac57-3e4f28ca11dc_Enabled">
    <vt:lpwstr>true</vt:lpwstr>
  </property>
  <property fmtid="{D5CDD505-2E9C-101B-9397-08002B2CF9AE}" pid="8" name="MSIP_Label_ea60d57e-af5b-4752-ac57-3e4f28ca11dc_SetDate">
    <vt:lpwstr>2021-04-07T05:57:28Z</vt:lpwstr>
  </property>
  <property fmtid="{D5CDD505-2E9C-101B-9397-08002B2CF9AE}" pid="9" name="MSIP_Label_ea60d57e-af5b-4752-ac57-3e4f28ca11dc_Method">
    <vt:lpwstr>Standard</vt:lpwstr>
  </property>
  <property fmtid="{D5CDD505-2E9C-101B-9397-08002B2CF9AE}" pid="10" name="MSIP_Label_ea60d57e-af5b-4752-ac57-3e4f28ca11dc_Name">
    <vt:lpwstr>ea60d57e-af5b-4752-ac57-3e4f28ca11dc</vt:lpwstr>
  </property>
  <property fmtid="{D5CDD505-2E9C-101B-9397-08002B2CF9AE}" pid="11" name="MSIP_Label_ea60d57e-af5b-4752-ac57-3e4f28ca11dc_SiteId">
    <vt:lpwstr>36da45f1-dd2c-4d1f-af13-5abe46b99921</vt:lpwstr>
  </property>
  <property fmtid="{D5CDD505-2E9C-101B-9397-08002B2CF9AE}" pid="12" name="MSIP_Label_ea60d57e-af5b-4752-ac57-3e4f28ca11dc_ActionId">
    <vt:lpwstr>32656dda-ac33-4858-8d42-1bacebb86051</vt:lpwstr>
  </property>
  <property fmtid="{D5CDD505-2E9C-101B-9397-08002B2CF9AE}" pid="13" name="MSIP_Label_ea60d57e-af5b-4752-ac57-3e4f28ca11dc_ContentBits">
    <vt:lpwstr>0</vt:lpwstr>
  </property>
  <property fmtid="{D5CDD505-2E9C-101B-9397-08002B2CF9AE}" pid="14" name="Mendeley Unique User Id_1">
    <vt:lpwstr>2454d00e-48a1-3e15-969c-899aa81f1b3c</vt:lpwstr>
  </property>
  <property fmtid="{D5CDD505-2E9C-101B-9397-08002B2CF9AE}" pid="15" name="Mendeley Recent Style Id 0_1">
    <vt:lpwstr>http://www.zotero.org/styles/american-political-science-association</vt:lpwstr>
  </property>
  <property fmtid="{D5CDD505-2E9C-101B-9397-08002B2CF9AE}" pid="16" name="Mendeley Recent Style Name 0_1">
    <vt:lpwstr>American Political Science Association</vt:lpwstr>
  </property>
  <property fmtid="{D5CDD505-2E9C-101B-9397-08002B2CF9AE}" pid="17" name="Mendeley Recent Style Id 1_1">
    <vt:lpwstr>http://www.zotero.org/styles/apa</vt:lpwstr>
  </property>
  <property fmtid="{D5CDD505-2E9C-101B-9397-08002B2CF9AE}" pid="18" name="Mendeley Recent Style Name 1_1">
    <vt:lpwstr>American Psychological Association 7th edition</vt:lpwstr>
  </property>
  <property fmtid="{D5CDD505-2E9C-101B-9397-08002B2CF9AE}" pid="19" name="Mendeley Recent Style Id 2_1">
    <vt:lpwstr>http://www.zotero.org/styles/american-sociological-association</vt:lpwstr>
  </property>
  <property fmtid="{D5CDD505-2E9C-101B-9397-08002B2CF9AE}" pid="20" name="Mendeley Recent Style Name 2_1">
    <vt:lpwstr>American Sociological Association 6th edition</vt:lpwstr>
  </property>
  <property fmtid="{D5CDD505-2E9C-101B-9397-08002B2CF9AE}" pid="21" name="Mendeley Recent Style Id 3_1">
    <vt:lpwstr>http://www.zotero.org/styles/applied-energy</vt:lpwstr>
  </property>
  <property fmtid="{D5CDD505-2E9C-101B-9397-08002B2CF9AE}" pid="22" name="Mendeley Recent Style Name 3_1">
    <vt:lpwstr>Applied Energy</vt:lpwstr>
  </property>
  <property fmtid="{D5CDD505-2E9C-101B-9397-08002B2CF9AE}" pid="23" name="Mendeley Recent Style Id 4_1">
    <vt:lpwstr>http://www.zotero.org/styles/chicago-author-date</vt:lpwstr>
  </property>
  <property fmtid="{D5CDD505-2E9C-101B-9397-08002B2CF9AE}" pid="24" name="Mendeley Recent Style Name 4_1">
    <vt:lpwstr>Chicago Manual of Style 17th edition (author-date)</vt:lpwstr>
  </property>
  <property fmtid="{D5CDD505-2E9C-101B-9397-08002B2CF9AE}" pid="25" name="Mendeley Recent Style Id 5_1">
    <vt:lpwstr>http://www.zotero.org/styles/harvard-cite-them-right</vt:lpwstr>
  </property>
  <property fmtid="{D5CDD505-2E9C-101B-9397-08002B2CF9AE}" pid="26" name="Mendeley Recent Style Name 5_1">
    <vt:lpwstr>Cite Them Right 10th edition - Harvard</vt:lpwstr>
  </property>
  <property fmtid="{D5CDD505-2E9C-101B-9397-08002B2CF9AE}" pid="27" name="Mendeley Recent Style Id 6_1">
    <vt:lpwstr>http://www.zotero.org/styles/energy-and-environmental-science</vt:lpwstr>
  </property>
  <property fmtid="{D5CDD505-2E9C-101B-9397-08002B2CF9AE}" pid="28" name="Mendeley Recent Style Name 6_1">
    <vt:lpwstr>Energy &amp; Environmental Science</vt:lpwstr>
  </property>
  <property fmtid="{D5CDD505-2E9C-101B-9397-08002B2CF9AE}" pid="29" name="Mendeley Recent Style Id 7_1">
    <vt:lpwstr>http://www.zotero.org/styles/ieee</vt:lpwstr>
  </property>
  <property fmtid="{D5CDD505-2E9C-101B-9397-08002B2CF9AE}" pid="30" name="Mendeley Recent Style Name 7_1">
    <vt:lpwstr>IEEE</vt:lpwstr>
  </property>
  <property fmtid="{D5CDD505-2E9C-101B-9397-08002B2CF9AE}" pid="31" name="Mendeley Recent Style Id 8_1">
    <vt:lpwstr>http://www.zotero.org/styles/modern-humanities-research-association</vt:lpwstr>
  </property>
  <property fmtid="{D5CDD505-2E9C-101B-9397-08002B2CF9AE}" pid="32" name="Mendeley Recent Style Name 8_1">
    <vt:lpwstr>Modern Humanities Research Association 3rd edition (note with bibliography)</vt:lpwstr>
  </property>
  <property fmtid="{D5CDD505-2E9C-101B-9397-08002B2CF9AE}" pid="33" name="Mendeley Recent Style Id 9_1">
    <vt:lpwstr>http://www.zotero.org/styles/nature</vt:lpwstr>
  </property>
  <property fmtid="{D5CDD505-2E9C-101B-9397-08002B2CF9AE}" pid="34" name="Mendeley Recent Style Name 9_1">
    <vt:lpwstr>Nature</vt:lpwstr>
  </property>
</Properties>
</file>